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7C6" w:rsidRPr="00AF102D" w:rsidRDefault="00EE59FC" w:rsidP="00CA37C6">
      <w:pPr>
        <w:widowControl w:val="0"/>
        <w:tabs>
          <w:tab w:val="left" w:leader="dot" w:pos="5835"/>
        </w:tabs>
        <w:suppressAutoHyphens w:val="0"/>
        <w:spacing w:after="0" w:line="360" w:lineRule="auto"/>
        <w:ind w:firstLine="567"/>
        <w:jc w:val="center"/>
        <w:rPr>
          <w:rFonts w:ascii="Times New Roman" w:eastAsia="Arial" w:hAnsi="Times New Roman" w:cs="Times New Roman"/>
          <w:b/>
          <w:bCs/>
          <w:color w:val="000000"/>
          <w:sz w:val="24"/>
          <w:szCs w:val="24"/>
          <w:lang w:eastAsia="pl-PL"/>
        </w:rPr>
      </w:pPr>
      <w:r>
        <w:rPr>
          <w:rFonts w:ascii="Times New Roman" w:eastAsia="Arial" w:hAnsi="Times New Roman" w:cs="Times New Roman"/>
          <w:b/>
          <w:bCs/>
          <w:color w:val="000000"/>
          <w:sz w:val="24"/>
          <w:szCs w:val="24"/>
          <w:lang w:eastAsia="pl-PL"/>
        </w:rPr>
        <w:t>UCHWAŁA Nr 363</w:t>
      </w:r>
      <w:r w:rsidR="00CA37C6" w:rsidRPr="00AF102D">
        <w:rPr>
          <w:rFonts w:ascii="Times New Roman" w:eastAsia="Arial" w:hAnsi="Times New Roman" w:cs="Times New Roman"/>
          <w:b/>
          <w:bCs/>
          <w:color w:val="000000"/>
          <w:sz w:val="24"/>
          <w:szCs w:val="24"/>
          <w:lang w:eastAsia="pl-PL"/>
        </w:rPr>
        <w:t>/2016</w:t>
      </w:r>
    </w:p>
    <w:p w:rsidR="00CA37C6" w:rsidRPr="00AF102D" w:rsidRDefault="00CA37C6" w:rsidP="00CA37C6">
      <w:pPr>
        <w:widowControl w:val="0"/>
        <w:suppressAutoHyphens w:val="0"/>
        <w:spacing w:after="0" w:line="360" w:lineRule="auto"/>
        <w:ind w:firstLine="567"/>
        <w:jc w:val="center"/>
        <w:rPr>
          <w:rFonts w:ascii="Times New Roman" w:eastAsia="Arial" w:hAnsi="Times New Roman" w:cs="Times New Roman"/>
          <w:b/>
          <w:bCs/>
          <w:color w:val="000000"/>
          <w:sz w:val="24"/>
          <w:szCs w:val="24"/>
          <w:lang w:eastAsia="pl-PL"/>
        </w:rPr>
      </w:pPr>
      <w:r w:rsidRPr="00AF102D">
        <w:rPr>
          <w:rFonts w:ascii="Times New Roman" w:eastAsia="Arial" w:hAnsi="Times New Roman" w:cs="Times New Roman"/>
          <w:b/>
          <w:bCs/>
          <w:color w:val="000000"/>
          <w:sz w:val="24"/>
          <w:szCs w:val="24"/>
          <w:lang w:eastAsia="pl-PL"/>
        </w:rPr>
        <w:t>KRAJOWEJ RADY SĄDOWNICTWA</w:t>
      </w:r>
    </w:p>
    <w:p w:rsidR="001F14B2" w:rsidRDefault="001F14B2" w:rsidP="00CA37C6">
      <w:pPr>
        <w:widowControl w:val="0"/>
        <w:tabs>
          <w:tab w:val="left" w:leader="dot" w:pos="5422"/>
        </w:tabs>
        <w:suppressAutoHyphens w:val="0"/>
        <w:spacing w:after="0" w:line="360" w:lineRule="auto"/>
        <w:ind w:firstLine="567"/>
        <w:jc w:val="center"/>
        <w:rPr>
          <w:rFonts w:ascii="Times New Roman" w:eastAsia="Arial" w:hAnsi="Times New Roman" w:cs="Times New Roman"/>
          <w:b/>
          <w:bCs/>
          <w:color w:val="000000"/>
          <w:sz w:val="24"/>
          <w:szCs w:val="24"/>
          <w:lang w:eastAsia="pl-PL"/>
        </w:rPr>
      </w:pPr>
    </w:p>
    <w:p w:rsidR="00CA37C6" w:rsidRDefault="002444C9" w:rsidP="00CA37C6">
      <w:pPr>
        <w:widowControl w:val="0"/>
        <w:tabs>
          <w:tab w:val="left" w:leader="dot" w:pos="5422"/>
        </w:tabs>
        <w:suppressAutoHyphens w:val="0"/>
        <w:spacing w:after="0" w:line="360" w:lineRule="auto"/>
        <w:ind w:firstLine="567"/>
        <w:jc w:val="center"/>
        <w:rPr>
          <w:rFonts w:ascii="Times New Roman" w:eastAsia="Arial" w:hAnsi="Times New Roman" w:cs="Times New Roman"/>
          <w:b/>
          <w:bCs/>
          <w:color w:val="000000"/>
          <w:sz w:val="24"/>
          <w:szCs w:val="24"/>
          <w:lang w:eastAsia="pl-PL"/>
        </w:rPr>
      </w:pPr>
      <w:r>
        <w:rPr>
          <w:rFonts w:ascii="Times New Roman" w:eastAsia="Arial" w:hAnsi="Times New Roman" w:cs="Times New Roman"/>
          <w:b/>
          <w:bCs/>
          <w:color w:val="000000"/>
          <w:sz w:val="24"/>
          <w:szCs w:val="24"/>
          <w:lang w:eastAsia="pl-PL"/>
        </w:rPr>
        <w:t>z dnia 12 maja</w:t>
      </w:r>
      <w:r w:rsidR="00CA37C6" w:rsidRPr="00AF102D">
        <w:rPr>
          <w:rFonts w:ascii="Times New Roman" w:eastAsia="Arial" w:hAnsi="Times New Roman" w:cs="Times New Roman"/>
          <w:b/>
          <w:bCs/>
          <w:color w:val="000000"/>
          <w:sz w:val="24"/>
          <w:szCs w:val="24"/>
          <w:lang w:eastAsia="pl-PL"/>
        </w:rPr>
        <w:t xml:space="preserve"> 2016 r.</w:t>
      </w:r>
    </w:p>
    <w:p w:rsidR="002444C9" w:rsidRPr="00AF102D" w:rsidRDefault="002444C9" w:rsidP="00CA37C6">
      <w:pPr>
        <w:widowControl w:val="0"/>
        <w:tabs>
          <w:tab w:val="left" w:leader="dot" w:pos="5422"/>
        </w:tabs>
        <w:suppressAutoHyphens w:val="0"/>
        <w:spacing w:after="0" w:line="360" w:lineRule="auto"/>
        <w:ind w:firstLine="567"/>
        <w:jc w:val="center"/>
        <w:rPr>
          <w:rFonts w:ascii="Times New Roman" w:eastAsia="Arial" w:hAnsi="Times New Roman" w:cs="Times New Roman"/>
          <w:b/>
          <w:bCs/>
          <w:color w:val="000000"/>
          <w:sz w:val="24"/>
          <w:szCs w:val="24"/>
          <w:lang w:eastAsia="pl-PL"/>
        </w:rPr>
      </w:pPr>
    </w:p>
    <w:p w:rsidR="00CA37C6" w:rsidRPr="00AF102D" w:rsidRDefault="00CA37C6" w:rsidP="00CA37C6">
      <w:pPr>
        <w:widowControl w:val="0"/>
        <w:suppressAutoHyphens w:val="0"/>
        <w:spacing w:after="360" w:line="360" w:lineRule="auto"/>
        <w:ind w:firstLine="567"/>
        <w:jc w:val="both"/>
        <w:rPr>
          <w:rFonts w:ascii="Times New Roman" w:hAnsi="Times New Roman" w:cs="Times New Roman"/>
          <w:b/>
          <w:bCs/>
          <w:sz w:val="24"/>
          <w:szCs w:val="24"/>
        </w:rPr>
      </w:pPr>
      <w:r w:rsidRPr="00AF102D">
        <w:rPr>
          <w:rFonts w:ascii="Times New Roman" w:eastAsia="Arial" w:hAnsi="Times New Roman" w:cs="Times New Roman"/>
          <w:b/>
          <w:bCs/>
          <w:color w:val="000000"/>
          <w:sz w:val="24"/>
          <w:szCs w:val="24"/>
          <w:lang w:eastAsia="pl-PL"/>
        </w:rPr>
        <w:t xml:space="preserve">w sprawie skierowania wniosku do Trybunału Konstytucyjnego o zbadanie zgodności </w:t>
      </w:r>
      <w:r w:rsidRPr="00AF102D">
        <w:rPr>
          <w:rFonts w:ascii="Times New Roman" w:eastAsia="Arial" w:hAnsi="Times New Roman" w:cs="Times New Roman"/>
          <w:b/>
          <w:bCs/>
          <w:color w:val="000000"/>
          <w:sz w:val="24"/>
          <w:szCs w:val="24"/>
          <w:lang w:eastAsia="pl-PL"/>
        </w:rPr>
        <w:br/>
        <w:t>z Konstytucją Rzeczypospolitej Polskiej a</w:t>
      </w:r>
      <w:r w:rsidRPr="00AF102D">
        <w:rPr>
          <w:rFonts w:ascii="Times New Roman" w:hAnsi="Times New Roman" w:cs="Times New Roman"/>
          <w:b/>
          <w:bCs/>
          <w:sz w:val="24"/>
          <w:szCs w:val="24"/>
        </w:rPr>
        <w:t xml:space="preserve">rt. 168a  ustawy z dnia 6 czerwca 1997 r. Kodeks postępowania karnego (Dz. U. Nr 89 poz. 555 ze zm.) w brzmieniu nadanym ustawą z dnia 11 marca 2016 r. o zmianie ustawy </w:t>
      </w:r>
      <w:r w:rsidRPr="00AF102D">
        <w:rPr>
          <w:rFonts w:ascii="Times New Roman" w:hAnsi="Times New Roman"/>
          <w:b/>
          <w:sz w:val="24"/>
          <w:szCs w:val="24"/>
          <w:lang w:eastAsia="pl-PL"/>
        </w:rPr>
        <w:t>- Kodeks postępowania karnego oraz niektórych innych ustaw</w:t>
      </w:r>
      <w:r w:rsidRPr="00AF102D">
        <w:rPr>
          <w:rFonts w:ascii="Times New Roman" w:eastAsia="Arial" w:hAnsi="Times New Roman" w:cs="Times New Roman"/>
          <w:b/>
          <w:color w:val="000000"/>
          <w:sz w:val="24"/>
          <w:szCs w:val="24"/>
          <w:lang w:eastAsia="pl-PL"/>
        </w:rPr>
        <w:t xml:space="preserve"> </w:t>
      </w:r>
      <w:r w:rsidRPr="00AF102D">
        <w:rPr>
          <w:rFonts w:ascii="Times New Roman" w:hAnsi="Times New Roman" w:cs="Times New Roman"/>
          <w:b/>
          <w:bCs/>
          <w:sz w:val="24"/>
          <w:szCs w:val="24"/>
        </w:rPr>
        <w:t xml:space="preserve">(Dz. U. poz. 437). </w:t>
      </w:r>
    </w:p>
    <w:p w:rsidR="00CA37C6" w:rsidRPr="00AF102D" w:rsidRDefault="00CA37C6" w:rsidP="00CA37C6">
      <w:pPr>
        <w:widowControl w:val="0"/>
        <w:suppressAutoHyphens w:val="0"/>
        <w:spacing w:after="360" w:line="360" w:lineRule="auto"/>
        <w:ind w:firstLine="567"/>
        <w:jc w:val="both"/>
        <w:rPr>
          <w:rFonts w:ascii="Times New Roman" w:eastAsia="Arial" w:hAnsi="Times New Roman" w:cs="Times New Roman"/>
          <w:color w:val="000000"/>
          <w:sz w:val="24"/>
          <w:szCs w:val="24"/>
          <w:lang w:eastAsia="pl-PL"/>
        </w:rPr>
      </w:pPr>
      <w:r w:rsidRPr="00AF102D">
        <w:rPr>
          <w:rFonts w:ascii="Times New Roman" w:eastAsia="Arial" w:hAnsi="Times New Roman" w:cs="Times New Roman"/>
          <w:color w:val="000000"/>
          <w:sz w:val="24"/>
          <w:szCs w:val="24"/>
          <w:lang w:eastAsia="pl-PL"/>
        </w:rPr>
        <w:t>Na podstawie art. 191 ust. 1 pkt 2 w związku z art. 186 ust. 2 oraz art. 188 pkt 1 Konstytucji Rzeczypospolitej Polskiej z dnia 2 kwietnia 1997 r., zwanej dalej „Konstytucją”,</w:t>
      </w:r>
    </w:p>
    <w:p w:rsidR="00CA37C6" w:rsidRPr="00AF102D" w:rsidRDefault="00CA37C6" w:rsidP="00CA37C6">
      <w:pPr>
        <w:widowControl w:val="0"/>
        <w:suppressAutoHyphens w:val="0"/>
        <w:spacing w:after="240" w:line="360" w:lineRule="auto"/>
        <w:ind w:left="567" w:firstLine="567"/>
        <w:jc w:val="both"/>
        <w:rPr>
          <w:rFonts w:ascii="Times New Roman" w:eastAsia="Arial" w:hAnsi="Times New Roman" w:cs="Times New Roman"/>
          <w:color w:val="000000"/>
          <w:sz w:val="24"/>
          <w:szCs w:val="24"/>
          <w:lang w:eastAsia="pl-PL"/>
        </w:rPr>
      </w:pPr>
      <w:r w:rsidRPr="00AF102D">
        <w:rPr>
          <w:rFonts w:ascii="Times New Roman" w:eastAsia="Arial" w:hAnsi="Times New Roman" w:cs="Times New Roman"/>
          <w:color w:val="000000"/>
          <w:sz w:val="24"/>
          <w:szCs w:val="24"/>
          <w:lang w:eastAsia="pl-PL"/>
        </w:rPr>
        <w:t>Krajowa Rada Sądownictwa wnosi o stwierdzenie, że:</w:t>
      </w:r>
    </w:p>
    <w:p w:rsidR="00CA37C6" w:rsidRPr="00AF102D" w:rsidRDefault="00CA37C6" w:rsidP="00CA37C6">
      <w:pPr>
        <w:widowControl w:val="0"/>
        <w:suppressAutoHyphens w:val="0"/>
        <w:spacing w:after="120" w:line="360" w:lineRule="auto"/>
        <w:ind w:firstLine="567"/>
        <w:jc w:val="both"/>
        <w:rPr>
          <w:rFonts w:ascii="Times New Roman" w:eastAsia="Arial" w:hAnsi="Times New Roman" w:cs="Times New Roman"/>
          <w:b/>
          <w:bCs/>
          <w:color w:val="000000"/>
          <w:sz w:val="24"/>
          <w:szCs w:val="24"/>
          <w:lang w:eastAsia="pl-PL"/>
        </w:rPr>
      </w:pPr>
      <w:r w:rsidRPr="00AF102D">
        <w:rPr>
          <w:rFonts w:ascii="Times New Roman" w:hAnsi="Times New Roman" w:cs="Times New Roman"/>
          <w:b/>
          <w:bCs/>
          <w:sz w:val="24"/>
          <w:szCs w:val="24"/>
        </w:rPr>
        <w:t xml:space="preserve">art. 168a  ustawy z dnia 6 czerwca 1997 r. Kodeks postępowania karnego (Dz. U. Nr 89 poz. 555 ze zm.) w brzmieniu nadanym przez ustawę z dnia 11 marca 2016 r. o zmianie ustawy </w:t>
      </w:r>
      <w:r w:rsidRPr="00AF102D">
        <w:rPr>
          <w:rFonts w:ascii="Times New Roman" w:hAnsi="Times New Roman"/>
          <w:b/>
          <w:sz w:val="24"/>
          <w:szCs w:val="24"/>
          <w:lang w:eastAsia="pl-PL"/>
        </w:rPr>
        <w:t>- Kodeks postępowania karnego oraz niektórych innych ustaw</w:t>
      </w:r>
      <w:r w:rsidRPr="00AF102D">
        <w:rPr>
          <w:rFonts w:ascii="Times New Roman" w:eastAsia="Arial" w:hAnsi="Times New Roman" w:cs="Times New Roman"/>
          <w:b/>
          <w:color w:val="000000"/>
          <w:sz w:val="24"/>
          <w:szCs w:val="24"/>
          <w:lang w:eastAsia="pl-PL"/>
        </w:rPr>
        <w:t xml:space="preserve"> </w:t>
      </w:r>
      <w:r w:rsidRPr="00AF102D">
        <w:rPr>
          <w:rFonts w:ascii="Times New Roman" w:hAnsi="Times New Roman" w:cs="Times New Roman"/>
          <w:b/>
          <w:bCs/>
          <w:sz w:val="24"/>
          <w:szCs w:val="24"/>
        </w:rPr>
        <w:t xml:space="preserve">(Dz. U. poz. 437) jest niezgodny z art. 2, art. 7, art. 31 ust. 3, art. 32 ust. 1, art. 45 ust. 1, art. 51 ust. 2, art. 174 </w:t>
      </w:r>
      <w:r w:rsidRPr="00AF102D">
        <w:rPr>
          <w:rFonts w:ascii="Times New Roman" w:hAnsi="Times New Roman" w:cs="Times New Roman"/>
          <w:b/>
          <w:bCs/>
          <w:sz w:val="24"/>
          <w:szCs w:val="24"/>
        </w:rPr>
        <w:br/>
        <w:t xml:space="preserve">i 178 ust. 1 i 2 Konstytucji </w:t>
      </w:r>
      <w:r w:rsidRPr="00AF102D">
        <w:rPr>
          <w:rFonts w:ascii="Times New Roman" w:eastAsia="Arial" w:hAnsi="Times New Roman" w:cs="Times New Roman"/>
          <w:b/>
          <w:bCs/>
          <w:color w:val="000000"/>
          <w:sz w:val="24"/>
          <w:szCs w:val="24"/>
          <w:lang w:eastAsia="pl-PL"/>
        </w:rPr>
        <w:t xml:space="preserve">w związku z art. 3 i </w:t>
      </w:r>
      <w:r w:rsidRPr="00AF102D">
        <w:rPr>
          <w:rFonts w:ascii="Times New Roman" w:hAnsi="Times New Roman" w:cs="Times New Roman"/>
          <w:b/>
          <w:sz w:val="24"/>
          <w:szCs w:val="24"/>
          <w:lang w:eastAsia="pl-PL"/>
        </w:rPr>
        <w:t xml:space="preserve">art. 6 ust. 1 Konwencji o Ochronie Praw Człowieka i Podstawowych Wolności </w:t>
      </w:r>
      <w:r w:rsidRPr="00AF102D">
        <w:rPr>
          <w:rFonts w:ascii="Times New Roman" w:hAnsi="Times New Roman" w:cs="Times New Roman"/>
          <w:b/>
          <w:lang w:eastAsia="pl-PL"/>
        </w:rPr>
        <w:t>(</w:t>
      </w:r>
      <w:r w:rsidRPr="00AF102D">
        <w:rPr>
          <w:rFonts w:ascii="Times New Roman" w:hAnsi="Times New Roman" w:cs="Times New Roman"/>
          <w:b/>
          <w:sz w:val="24"/>
          <w:szCs w:val="24"/>
          <w:lang w:eastAsia="pl-PL"/>
        </w:rPr>
        <w:t xml:space="preserve">sporządzonej w Rzymie 4 listopada 1950r., zmienionej </w:t>
      </w:r>
      <w:r w:rsidRPr="00AF102D">
        <w:rPr>
          <w:rFonts w:ascii="Times New Roman" w:hAnsi="Times New Roman" w:cs="Times New Roman"/>
          <w:b/>
          <w:lang w:eastAsia="pl-PL"/>
        </w:rPr>
        <w:t xml:space="preserve">następnie </w:t>
      </w:r>
      <w:r w:rsidRPr="00AF102D">
        <w:rPr>
          <w:rFonts w:ascii="Times New Roman" w:hAnsi="Times New Roman" w:cs="Times New Roman"/>
          <w:b/>
          <w:sz w:val="24"/>
          <w:szCs w:val="24"/>
          <w:lang w:eastAsia="pl-PL"/>
        </w:rPr>
        <w:t>Protokołami nr 3, 5</w:t>
      </w:r>
      <w:r w:rsidRPr="00AF102D">
        <w:rPr>
          <w:rFonts w:ascii="Times New Roman" w:hAnsi="Times New Roman" w:cs="Times New Roman"/>
          <w:b/>
          <w:lang w:eastAsia="pl-PL"/>
        </w:rPr>
        <w:t xml:space="preserve"> i </w:t>
      </w:r>
      <w:r w:rsidRPr="00AF102D">
        <w:rPr>
          <w:rFonts w:ascii="Times New Roman" w:hAnsi="Times New Roman" w:cs="Times New Roman"/>
          <w:b/>
          <w:sz w:val="24"/>
          <w:szCs w:val="24"/>
          <w:lang w:eastAsia="pl-PL"/>
        </w:rPr>
        <w:t xml:space="preserve"> 8 oraz uzupełnion</w:t>
      </w:r>
      <w:r w:rsidRPr="00AF102D">
        <w:rPr>
          <w:rFonts w:ascii="Times New Roman" w:hAnsi="Times New Roman" w:cs="Times New Roman"/>
          <w:b/>
          <w:lang w:eastAsia="pl-PL"/>
        </w:rPr>
        <w:t>ej</w:t>
      </w:r>
      <w:r w:rsidRPr="00AF102D">
        <w:rPr>
          <w:rFonts w:ascii="Times New Roman" w:hAnsi="Times New Roman" w:cs="Times New Roman"/>
          <w:b/>
          <w:sz w:val="24"/>
          <w:szCs w:val="24"/>
          <w:lang w:eastAsia="pl-PL"/>
        </w:rPr>
        <w:t xml:space="preserve"> Protokołem nr 2; </w:t>
      </w:r>
      <w:r w:rsidRPr="00AF102D">
        <w:rPr>
          <w:rFonts w:ascii="Times New Roman" w:hAnsi="Times New Roman" w:cs="Times New Roman"/>
          <w:b/>
          <w:bCs/>
          <w:sz w:val="24"/>
          <w:szCs w:val="24"/>
          <w:lang w:eastAsia="pl-PL"/>
        </w:rPr>
        <w:t xml:space="preserve">Dz.U. </w:t>
      </w:r>
      <w:r w:rsidRPr="00AF102D">
        <w:rPr>
          <w:rFonts w:ascii="Times New Roman" w:hAnsi="Times New Roman" w:cs="Times New Roman"/>
          <w:b/>
          <w:bCs/>
          <w:sz w:val="24"/>
          <w:szCs w:val="24"/>
          <w:lang w:eastAsia="pl-PL"/>
        </w:rPr>
        <w:br/>
        <w:t>z 1993 r. Nr 61 poz. 284 ze zm.)</w:t>
      </w:r>
      <w:r w:rsidRPr="00AF102D">
        <w:rPr>
          <w:rFonts w:ascii="Times New Roman" w:hAnsi="Times New Roman" w:cs="Times New Roman"/>
          <w:b/>
          <w:bCs/>
          <w:sz w:val="24"/>
          <w:szCs w:val="24"/>
        </w:rPr>
        <w:t xml:space="preserve">, z uwagi na to, że </w:t>
      </w:r>
      <w:r w:rsidRPr="00AF102D">
        <w:rPr>
          <w:rFonts w:ascii="Times New Roman" w:eastAsia="Arial" w:hAnsi="Times New Roman" w:cs="Times New Roman"/>
          <w:b/>
          <w:bCs/>
          <w:color w:val="000000"/>
          <w:sz w:val="24"/>
          <w:szCs w:val="24"/>
          <w:lang w:eastAsia="pl-PL"/>
        </w:rPr>
        <w:t xml:space="preserve">wprowadzone przez tę ustawę rozwiązania prawne pozwolą na przyznanie waloru dowodu obciążającego strony procesu </w:t>
      </w:r>
      <w:r w:rsidRPr="00AF102D">
        <w:rPr>
          <w:rFonts w:ascii="Times New Roman" w:eastAsia="Arial" w:hAnsi="Times New Roman" w:cs="Times New Roman"/>
          <w:b/>
          <w:bCs/>
          <w:color w:val="000000"/>
          <w:sz w:val="24"/>
          <w:szCs w:val="24"/>
          <w:lang w:eastAsia="pl-PL"/>
        </w:rPr>
        <w:br/>
        <w:t>i czynienie w tym zakresie ustaleń faktycznych niekorzystnych dla stron na podstawie materiałów uzyskanych z naruszeniem przepisów postępowania lub za pomocą czynu zabronionego, o którym mowa w art. 1 § 1 ustawy z dnia 6 czerwca 1997 r. Kodeks karny (Dz.U. z 2015 r. poz. 1855 ze zm.).</w:t>
      </w:r>
    </w:p>
    <w:p w:rsidR="00CA37C6" w:rsidRDefault="00CA37C6" w:rsidP="00BE6F4E">
      <w:pPr>
        <w:widowControl w:val="0"/>
        <w:suppressAutoHyphens w:val="0"/>
        <w:spacing w:after="410" w:line="360" w:lineRule="auto"/>
        <w:rPr>
          <w:rFonts w:ascii="Times New Roman" w:eastAsia="Arial" w:hAnsi="Times New Roman" w:cs="Times New Roman"/>
          <w:b/>
          <w:sz w:val="24"/>
          <w:szCs w:val="24"/>
          <w:lang w:eastAsia="pl-PL"/>
        </w:rPr>
      </w:pPr>
    </w:p>
    <w:p w:rsidR="00D40A79" w:rsidRDefault="00D40A79" w:rsidP="00BE6F4E">
      <w:pPr>
        <w:widowControl w:val="0"/>
        <w:suppressAutoHyphens w:val="0"/>
        <w:spacing w:after="410" w:line="360" w:lineRule="auto"/>
        <w:rPr>
          <w:rFonts w:ascii="Times New Roman" w:eastAsia="Arial" w:hAnsi="Times New Roman" w:cs="Times New Roman"/>
          <w:b/>
          <w:sz w:val="24"/>
          <w:szCs w:val="24"/>
          <w:lang w:eastAsia="pl-PL"/>
        </w:rPr>
      </w:pPr>
    </w:p>
    <w:p w:rsidR="00D40A79" w:rsidRPr="00AF102D" w:rsidRDefault="00D40A79" w:rsidP="00BE6F4E">
      <w:pPr>
        <w:widowControl w:val="0"/>
        <w:suppressAutoHyphens w:val="0"/>
        <w:spacing w:after="410" w:line="360" w:lineRule="auto"/>
        <w:rPr>
          <w:rFonts w:ascii="Times New Roman" w:eastAsia="Arial" w:hAnsi="Times New Roman" w:cs="Times New Roman"/>
          <w:b/>
          <w:sz w:val="24"/>
          <w:szCs w:val="24"/>
          <w:lang w:eastAsia="pl-PL"/>
        </w:rPr>
      </w:pPr>
    </w:p>
    <w:p w:rsidR="00CA37C6" w:rsidRPr="00AF102D" w:rsidRDefault="00CA37C6" w:rsidP="00CA37C6">
      <w:pPr>
        <w:widowControl w:val="0"/>
        <w:suppressAutoHyphens w:val="0"/>
        <w:spacing w:after="410" w:line="360" w:lineRule="auto"/>
        <w:ind w:firstLine="567"/>
        <w:jc w:val="center"/>
        <w:rPr>
          <w:rFonts w:ascii="Times New Roman" w:eastAsia="Arial" w:hAnsi="Times New Roman" w:cs="Times New Roman"/>
          <w:b/>
          <w:sz w:val="24"/>
          <w:szCs w:val="24"/>
          <w:lang w:eastAsia="pl-PL"/>
        </w:rPr>
      </w:pPr>
      <w:r w:rsidRPr="00AF102D">
        <w:rPr>
          <w:rFonts w:ascii="Times New Roman" w:eastAsia="Arial" w:hAnsi="Times New Roman" w:cs="Times New Roman"/>
          <w:b/>
          <w:sz w:val="24"/>
          <w:szCs w:val="24"/>
          <w:lang w:eastAsia="pl-PL"/>
        </w:rPr>
        <w:lastRenderedPageBreak/>
        <w:t>UZASADNIENIE</w:t>
      </w:r>
    </w:p>
    <w:p w:rsidR="00CA37C6" w:rsidRPr="00AF102D" w:rsidRDefault="00CA37C6" w:rsidP="00CA37C6">
      <w:pPr>
        <w:pStyle w:val="Bezodstpw"/>
        <w:spacing w:line="360" w:lineRule="auto"/>
        <w:ind w:firstLine="567"/>
        <w:jc w:val="center"/>
        <w:rPr>
          <w:rFonts w:ascii="Times New Roman" w:hAnsi="Times New Roman" w:cs="Times New Roman"/>
          <w:b/>
          <w:bCs/>
        </w:rPr>
      </w:pPr>
      <w:r w:rsidRPr="00AF102D">
        <w:rPr>
          <w:rFonts w:ascii="Times New Roman" w:hAnsi="Times New Roman" w:cs="Times New Roman"/>
          <w:b/>
          <w:bCs/>
        </w:rPr>
        <w:t>I.</w:t>
      </w:r>
    </w:p>
    <w:p w:rsidR="00CA37C6" w:rsidRPr="00AF102D" w:rsidRDefault="00CA37C6" w:rsidP="00CA37C6">
      <w:pPr>
        <w:pStyle w:val="Bezodstpw"/>
        <w:spacing w:line="360" w:lineRule="auto"/>
        <w:ind w:firstLine="567"/>
        <w:jc w:val="both"/>
        <w:rPr>
          <w:rFonts w:ascii="Times New Roman" w:hAnsi="Times New Roman" w:cs="Times New Roman"/>
          <w:lang w:eastAsia="pl-PL"/>
        </w:rPr>
      </w:pPr>
      <w:r w:rsidRPr="00AF102D">
        <w:rPr>
          <w:rFonts w:ascii="Times New Roman" w:hAnsi="Times New Roman" w:cs="Times New Roman"/>
          <w:bCs/>
        </w:rPr>
        <w:t xml:space="preserve">Krajowa Rada Sądownictwa kierując niniejszy wniosek wskazuje tytułem wstępu, </w:t>
      </w:r>
      <w:r w:rsidRPr="00AF102D">
        <w:rPr>
          <w:rFonts w:ascii="Times New Roman" w:hAnsi="Times New Roman" w:cs="Times New Roman"/>
          <w:bCs/>
        </w:rPr>
        <w:br/>
        <w:t>że zgodnie z art. 186 ust. 1 Konstytucji stoi na straży niezależności sądów i niezawisłości sędziów. Trybunał Konstytucyjny w</w:t>
      </w:r>
      <w:r w:rsidR="00603A45">
        <w:rPr>
          <w:rFonts w:ascii="Times New Roman" w:hAnsi="Times New Roman" w:cs="Times New Roman"/>
          <w:bCs/>
        </w:rPr>
        <w:t xml:space="preserve"> </w:t>
      </w:r>
      <w:r w:rsidR="00411357">
        <w:rPr>
          <w:rFonts w:ascii="Times New Roman" w:hAnsi="Times New Roman" w:cs="Times New Roman"/>
          <w:bCs/>
        </w:rPr>
        <w:t>uzasadnieniu</w:t>
      </w:r>
      <w:r w:rsidRPr="00AF102D">
        <w:rPr>
          <w:rFonts w:ascii="Times New Roman" w:hAnsi="Times New Roman" w:cs="Times New Roman"/>
          <w:bCs/>
        </w:rPr>
        <w:t xml:space="preserve"> wyroku z 9 grudnia 2015r. (w sprawie </w:t>
      </w:r>
      <w:r w:rsidRPr="00AF102D">
        <w:rPr>
          <w:rFonts w:ascii="Times New Roman" w:hAnsi="Times New Roman" w:cs="Times New Roman"/>
          <w:bCs/>
        </w:rPr>
        <w:br/>
        <w:t>o sygn. K 35/15) wskazał, że z</w:t>
      </w:r>
      <w:r w:rsidRPr="00AF102D">
        <w:rPr>
          <w:rFonts w:ascii="Times New Roman" w:hAnsi="Times New Roman" w:cs="Times New Roman"/>
          <w:lang w:eastAsia="pl-PL"/>
        </w:rPr>
        <w:t>adanie Rady w tym zakresie realizowane jest m</w:t>
      </w:r>
      <w:r w:rsidR="00411357">
        <w:rPr>
          <w:rFonts w:ascii="Times New Roman" w:hAnsi="Times New Roman" w:cs="Times New Roman"/>
          <w:lang w:eastAsia="pl-PL"/>
        </w:rPr>
        <w:t>iędzy innymi</w:t>
      </w:r>
      <w:r w:rsidRPr="00AF102D">
        <w:rPr>
          <w:rFonts w:ascii="Times New Roman" w:hAnsi="Times New Roman" w:cs="Times New Roman"/>
          <w:lang w:eastAsia="pl-PL"/>
        </w:rPr>
        <w:t xml:space="preserve"> przez zaangażowanie Krajowej Rady Sądownictwa w ocenę konstytucyjności prawa, która dotyczy niezależności sądów i niezawisłości sędziów. Rada uprawniona jest do przedstawiania wniosków do Trybunału Konstytucyjnego dotyczących sądownictwa i sędziów (art. 3 ust. 1 pkt 6 ustawy </w:t>
      </w:r>
      <w:r w:rsidRPr="00AF102D">
        <w:rPr>
          <w:rFonts w:ascii="Times New Roman" w:hAnsi="Times New Roman" w:cs="Times New Roman"/>
          <w:lang w:eastAsia="pl-PL"/>
        </w:rPr>
        <w:br/>
        <w:t xml:space="preserve">z 12 maja 2011 r. </w:t>
      </w:r>
      <w:r w:rsidRPr="00AF102D">
        <w:rPr>
          <w:rFonts w:ascii="Times New Roman" w:hAnsi="Times New Roman" w:cs="Times New Roman"/>
          <w:bCs/>
          <w:lang w:eastAsia="pl-PL"/>
        </w:rPr>
        <w:t xml:space="preserve">o Krajowej Radzie Sądownictwa, zwanej dalej ustawą </w:t>
      </w:r>
      <w:r w:rsidRPr="00AF102D">
        <w:rPr>
          <w:rFonts w:ascii="Times New Roman" w:hAnsi="Times New Roman" w:cs="Times New Roman"/>
          <w:lang w:eastAsia="pl-PL"/>
        </w:rPr>
        <w:t xml:space="preserve">o KRS). W ramach procedury oceny konstytucyjności prawa Rada uprawniona jest zatem do inicjowania kontroli </w:t>
      </w:r>
      <w:r w:rsidRPr="00AF102D">
        <w:rPr>
          <w:rFonts w:ascii="Times New Roman" w:hAnsi="Times New Roman" w:cs="Times New Roman"/>
          <w:lang w:eastAsia="pl-PL"/>
        </w:rPr>
        <w:br/>
        <w:t>w sprawie zgodności z Konstytucją aktów normatywnych w zakresie, w jakim dotyczą one niezależności sądów i niezawisłości sędziów (art. 191 ust. 1 pkt 2 w związku z art. 186 ust. 2 Konstytucji). Kompetencja do inicjowania kontroli konstytucyjności prawa w powyższym zakresie stanowi formę realizacji zadania konstytucyjnie powierzonego Radzie, tj. strzeżenia niezależności sądów i niezawisłości sędziów. Obie te kompetencje mają zatem swoje umocowanie w treści art. 186 ust. 1 Konstytucji.</w:t>
      </w:r>
    </w:p>
    <w:p w:rsidR="00CA37C6" w:rsidRPr="00AF102D" w:rsidRDefault="00CA37C6" w:rsidP="00CA37C6">
      <w:pPr>
        <w:pStyle w:val="Bezodstpw"/>
        <w:spacing w:line="360" w:lineRule="auto"/>
        <w:ind w:firstLine="567"/>
        <w:jc w:val="both"/>
        <w:rPr>
          <w:rFonts w:ascii="Times New Roman" w:hAnsi="Times New Roman" w:cs="Times New Roman"/>
        </w:rPr>
      </w:pPr>
      <w:r w:rsidRPr="00AF102D">
        <w:rPr>
          <w:rFonts w:ascii="Times New Roman" w:hAnsi="Times New Roman" w:cs="Times New Roman"/>
          <w:lang w:eastAsia="pl-PL"/>
        </w:rPr>
        <w:t xml:space="preserve">Zakaz dowodowy w polskiej procedurze karnej został wprowadzony </w:t>
      </w:r>
      <w:r w:rsidRPr="00AF102D">
        <w:rPr>
          <w:rFonts w:ascii="Times New Roman" w:eastAsiaTheme="minorHAnsi" w:hAnsi="Times New Roman" w:cs="Times New Roman"/>
          <w:lang w:eastAsia="en-US"/>
        </w:rPr>
        <w:t xml:space="preserve">art. 168a dodanym przez art. 1 pkt 52 ustawy z dnia 27 września 2013 r. (Dz.U. z 2013 r. poz. 1247) zmieniającym  ustawę Kodeks postępowania karnego w tym zakresie z dniem 1 lipca 2015 r. Stanowił </w:t>
      </w:r>
      <w:r w:rsidRPr="00AF102D">
        <w:rPr>
          <w:rFonts w:ascii="Times New Roman" w:eastAsiaTheme="minorHAnsi" w:hAnsi="Times New Roman" w:cs="Times New Roman"/>
          <w:lang w:eastAsia="en-US"/>
        </w:rPr>
        <w:br/>
        <w:t xml:space="preserve">on, że: „Niedopuszczalne jest przeprowadzenie i wykorzystanie dowodu uzyskanego do celów postępowania karnego za pomocą czynu zabronionego, o którym mowa w art. 1 § 1 Kodeksu karnego.”. Wskazany przepis obowiązywał do dnia 14 kwietnia 2016 r., następnie z dniem </w:t>
      </w:r>
      <w:r w:rsidRPr="00AF102D">
        <w:rPr>
          <w:rFonts w:ascii="Times New Roman" w:eastAsiaTheme="minorHAnsi" w:hAnsi="Times New Roman" w:cs="Times New Roman"/>
          <w:lang w:eastAsia="en-US"/>
        </w:rPr>
        <w:br/>
        <w:t xml:space="preserve">15 kwietnia 2016 r. został zmieniony </w:t>
      </w:r>
      <w:r w:rsidRPr="00AF102D">
        <w:rPr>
          <w:rFonts w:ascii="Times New Roman" w:hAnsi="Times New Roman" w:cs="Times New Roman"/>
          <w:bCs/>
        </w:rPr>
        <w:t xml:space="preserve">ustawą z dnia 11 marca 2016 r. o zmianie ustawy </w:t>
      </w:r>
      <w:r w:rsidRPr="00AF102D">
        <w:rPr>
          <w:rFonts w:ascii="Times New Roman" w:hAnsi="Times New Roman"/>
          <w:lang w:eastAsia="pl-PL"/>
        </w:rPr>
        <w:t>- Kodeks postępowania karnego oraz niektórych innych ustaw</w:t>
      </w:r>
      <w:r w:rsidRPr="00AF102D">
        <w:rPr>
          <w:rFonts w:ascii="Times New Roman" w:eastAsia="Arial" w:hAnsi="Times New Roman" w:cs="Times New Roman"/>
          <w:color w:val="000000"/>
          <w:lang w:eastAsia="pl-PL"/>
        </w:rPr>
        <w:t xml:space="preserve"> </w:t>
      </w:r>
      <w:r w:rsidRPr="00AF102D">
        <w:rPr>
          <w:rFonts w:ascii="Times New Roman" w:hAnsi="Times New Roman" w:cs="Times New Roman"/>
          <w:bCs/>
        </w:rPr>
        <w:t>(Dz. U. poz. 437) i w obecnym brzmieniu stanowi: „</w:t>
      </w:r>
      <w:r w:rsidRPr="00AF102D">
        <w:rPr>
          <w:rFonts w:ascii="Times New Roman" w:hAnsi="Times New Roman" w:cs="Times New Roman"/>
        </w:rPr>
        <w:t xml:space="preserve">Dowodu nie można uznać za niedopuszczalny wyłącznie na tej podstawie, że został uzyskany z naruszeniem przepisów postępowania lub za pomocą czynu zabronionego, o którym mowa w </w:t>
      </w:r>
      <w:hyperlink r:id="rId8" w:history="1">
        <w:r w:rsidRPr="00AF102D">
          <w:rPr>
            <w:rFonts w:ascii="Times New Roman" w:hAnsi="Times New Roman" w:cs="Times New Roman"/>
          </w:rPr>
          <w:t>art. 1 § 1</w:t>
        </w:r>
      </w:hyperlink>
      <w:r w:rsidRPr="00AF102D">
        <w:rPr>
          <w:rFonts w:ascii="Times New Roman" w:hAnsi="Times New Roman" w:cs="Times New Roman"/>
        </w:rPr>
        <w:t xml:space="preserve"> Kodeksu karnego, chyba że dowód został uzyskany w związku z pełnieniem przez funkcjonariusza publicznego obowiązków służbowych, w wyniku: zabójstwa, umyślnego spowodowania uszczerbku na zdrowiu lub pozbawienia wolności.”.</w:t>
      </w:r>
    </w:p>
    <w:p w:rsidR="00CA37C6" w:rsidRPr="00AF102D" w:rsidRDefault="00CA37C6" w:rsidP="00CA37C6">
      <w:pPr>
        <w:pStyle w:val="Bezodstpw"/>
        <w:spacing w:line="360" w:lineRule="auto"/>
        <w:ind w:firstLine="567"/>
        <w:jc w:val="both"/>
        <w:rPr>
          <w:rFonts w:ascii="Times New Roman" w:hAnsi="Times New Roman" w:cs="Times New Roman"/>
          <w:lang w:eastAsia="pl-PL"/>
        </w:rPr>
      </w:pPr>
      <w:r w:rsidRPr="00AF102D">
        <w:rPr>
          <w:rFonts w:ascii="Times New Roman" w:hAnsi="Times New Roman" w:cs="Times New Roman"/>
          <w:lang w:eastAsia="pl-PL"/>
        </w:rPr>
        <w:t xml:space="preserve">Kompetencją przypisaną Radzie jest inicjowanie kontroli konstytucyjności aktów normatywnych w takim zakresie, w jakim dotyczą one niezależności sądów i niezawisłości sędziów. Skoro ustawodawca dopuszcza posługiwanie się w procesie dowodami, które stanowią naruszenie przepisów postępowania lub wywodzą się z czynu zabronionego, a zdaniem </w:t>
      </w:r>
      <w:r w:rsidRPr="00AF102D">
        <w:rPr>
          <w:rFonts w:ascii="Times New Roman" w:hAnsi="Times New Roman" w:cs="Times New Roman"/>
          <w:lang w:eastAsia="pl-PL"/>
        </w:rPr>
        <w:lastRenderedPageBreak/>
        <w:t xml:space="preserve">wnioskodawcy ma to istotne przełożenie na niezależność sądów i niezawisłość sędziów, </w:t>
      </w:r>
      <w:r w:rsidRPr="00AF102D">
        <w:rPr>
          <w:rFonts w:ascii="Times New Roman" w:hAnsi="Times New Roman" w:cs="Times New Roman"/>
          <w:lang w:eastAsia="pl-PL"/>
        </w:rPr>
        <w:br/>
        <w:t xml:space="preserve">to Krajowa Rada Sądownictwa - na mocy art. 186 ust. 2 Konstytucji – ma kompetencję </w:t>
      </w:r>
      <w:r w:rsidR="00A869CF">
        <w:rPr>
          <w:rFonts w:ascii="Times New Roman" w:hAnsi="Times New Roman" w:cs="Times New Roman"/>
          <w:lang w:eastAsia="pl-PL"/>
        </w:rPr>
        <w:br/>
      </w:r>
      <w:r w:rsidRPr="00AF102D">
        <w:rPr>
          <w:rFonts w:ascii="Times New Roman" w:hAnsi="Times New Roman" w:cs="Times New Roman"/>
          <w:lang w:eastAsia="pl-PL"/>
        </w:rPr>
        <w:t xml:space="preserve">do inicjowania kontroli konstytucyjności aktu normatywnego dotyczącego tej materii. Wykorzystanie w procesie karnym opisanych powyżej dowodów przekłada się na niezależność sądów i niezawisłość sędziów z uwagi na bezpośrednie powiązanie między legalnością dowodów w postępowaniu sądowym, w tym przypadku procedurze karnej, oraz wykonywanie czynności procesowych i wprowadzanie do obrotu prawnego wyroków zapadłych na podstawie naruszenia norm proceduralnych lub uzyskanych pośrednio bądź bezpośrednio za pomocą czynu zabronionego. Powiązania te są widoczne zarówno na płaszczyźnie </w:t>
      </w:r>
      <w:r w:rsidRPr="00AF102D">
        <w:rPr>
          <w:rFonts w:ascii="Times New Roman" w:hAnsi="Times New Roman" w:cs="Times New Roman"/>
          <w:i/>
          <w:lang w:eastAsia="pl-PL"/>
        </w:rPr>
        <w:t>stricte</w:t>
      </w:r>
      <w:r w:rsidRPr="00AF102D">
        <w:rPr>
          <w:rFonts w:ascii="Times New Roman" w:hAnsi="Times New Roman" w:cs="Times New Roman"/>
          <w:lang w:eastAsia="pl-PL"/>
        </w:rPr>
        <w:t xml:space="preserve"> związanej </w:t>
      </w:r>
      <w:r w:rsidRPr="00AF102D">
        <w:rPr>
          <w:rFonts w:ascii="Times New Roman" w:hAnsi="Times New Roman" w:cs="Times New Roman"/>
          <w:lang w:eastAsia="pl-PL"/>
        </w:rPr>
        <w:br/>
        <w:t xml:space="preserve">z wykonywaniem urzędu sędziego, jak również w zakresie zaufania publicznego, jakim społeczeństwo darzy sądy w związku z kompetencją do wydawania sprawiedliwych wyroków </w:t>
      </w:r>
      <w:r w:rsidRPr="00AF102D">
        <w:rPr>
          <w:rFonts w:ascii="Times New Roman" w:hAnsi="Times New Roman" w:cs="Times New Roman"/>
          <w:lang w:eastAsia="pl-PL"/>
        </w:rPr>
        <w:br/>
        <w:t xml:space="preserve">w imieniu Rzeczypospolitej Polskiej. Dlatego też, zdaniem Rady zaskarżony przepis jest niezgodny z </w:t>
      </w:r>
      <w:r w:rsidRPr="00AF102D">
        <w:rPr>
          <w:rFonts w:ascii="Times New Roman" w:hAnsi="Times New Roman" w:cs="Times New Roman"/>
          <w:bCs/>
        </w:rPr>
        <w:t xml:space="preserve">art. 2, art. 7, art. 31 ust. 3, art. 32 ust. 1, art. 45 ust. 1, art. 51 ust. 2, art. 174 </w:t>
      </w:r>
      <w:r w:rsidRPr="00AF102D">
        <w:rPr>
          <w:rFonts w:ascii="Times New Roman" w:hAnsi="Times New Roman" w:cs="Times New Roman"/>
          <w:bCs/>
        </w:rPr>
        <w:br/>
        <w:t xml:space="preserve">i 178 ust. 1 i 2 Konstytucji </w:t>
      </w:r>
      <w:r w:rsidRPr="00AF102D">
        <w:rPr>
          <w:rFonts w:ascii="Times New Roman" w:eastAsia="Arial" w:hAnsi="Times New Roman" w:cs="Times New Roman"/>
          <w:bCs/>
          <w:color w:val="000000"/>
          <w:lang w:eastAsia="pl-PL"/>
        </w:rPr>
        <w:t xml:space="preserve">w związku z art. 3 i </w:t>
      </w:r>
      <w:r w:rsidRPr="00AF102D">
        <w:rPr>
          <w:rFonts w:ascii="Times New Roman" w:hAnsi="Times New Roman" w:cs="Times New Roman"/>
          <w:lang w:eastAsia="pl-PL"/>
        </w:rPr>
        <w:t xml:space="preserve">art. 6 ust. 1 Konwencji o Ochronie Praw Człowieka i Podstawowych Wolności. Poniżej przedstawiona zostanie argumentacja </w:t>
      </w:r>
      <w:r w:rsidR="00A869CF">
        <w:rPr>
          <w:rFonts w:ascii="Times New Roman" w:hAnsi="Times New Roman" w:cs="Times New Roman"/>
          <w:lang w:eastAsia="pl-PL"/>
        </w:rPr>
        <w:br/>
      </w:r>
      <w:r w:rsidRPr="00AF102D">
        <w:rPr>
          <w:rFonts w:ascii="Times New Roman" w:hAnsi="Times New Roman" w:cs="Times New Roman"/>
          <w:lang w:eastAsia="pl-PL"/>
        </w:rPr>
        <w:t xml:space="preserve">w odniesieniu do  powołanych wzorców konstytucyjnych i przepisów Konwencji. </w:t>
      </w:r>
    </w:p>
    <w:p w:rsidR="0057653A" w:rsidRPr="00AF102D" w:rsidRDefault="00CA37C6" w:rsidP="00FF2ECA">
      <w:pPr>
        <w:pStyle w:val="Bezodstpw"/>
        <w:spacing w:line="360" w:lineRule="auto"/>
        <w:ind w:firstLine="567"/>
        <w:jc w:val="both"/>
        <w:rPr>
          <w:rFonts w:ascii="Times New Roman" w:hAnsi="Times New Roman" w:cs="Times New Roman"/>
        </w:rPr>
      </w:pPr>
      <w:r w:rsidRPr="00AF102D">
        <w:rPr>
          <w:rFonts w:ascii="Times New Roman" w:hAnsi="Times New Roman" w:cs="Times New Roman"/>
          <w:bCs/>
        </w:rPr>
        <w:t>Odnosząc się do meritum wniosku należy wskazać, że zmiany wprowadzone ustawą nowelizacyjną z dnia 11 marca 2016 r.,</w:t>
      </w:r>
      <w:r w:rsidRPr="00AF102D">
        <w:rPr>
          <w:rFonts w:ascii="Times New Roman" w:hAnsi="Times New Roman" w:cs="Times New Roman"/>
          <w:lang w:eastAsia="pl-PL"/>
        </w:rPr>
        <w:t xml:space="preserve"> nie miały swoich odpowiedników w poprzednich regulacjach. Co więcej z uzasadnienia projektu wskazanej ustawy wynika, że „</w:t>
      </w:r>
      <w:r w:rsidRPr="00AF102D">
        <w:rPr>
          <w:rFonts w:ascii="Times New Roman" w:hAnsi="Times New Roman" w:cs="Times New Roman"/>
        </w:rPr>
        <w:t xml:space="preserve">w ocenie projektodawcy zbędna jest regulacja art. 168a (Kodeksu postępowania karnego), gdyż przepis ten wprowadza bardzo szeroki zakres zakazu dowodowego, niezależnie od okoliczności jego uzyskania. W tym stanie rzeczy celowe jest ocenianie każdej sytuacji </w:t>
      </w:r>
      <w:r w:rsidRPr="00AF102D">
        <w:rPr>
          <w:rStyle w:val="Kkursywa"/>
          <w:rFonts w:ascii="Times New Roman" w:hAnsi="Times New Roman" w:cs="Times New Roman"/>
        </w:rPr>
        <w:t>in casu</w:t>
      </w:r>
      <w:r w:rsidRPr="00AF102D">
        <w:rPr>
          <w:rFonts w:ascii="Times New Roman" w:hAnsi="Times New Roman" w:cs="Times New Roman"/>
        </w:rPr>
        <w:t xml:space="preserve">, z uwzględnieniem wszystkich aspektów sprawy, </w:t>
      </w:r>
      <w:r w:rsidR="00957147" w:rsidRPr="00AF102D">
        <w:rPr>
          <w:rFonts w:ascii="Times New Roman" w:hAnsi="Times New Roman" w:cs="Times New Roman"/>
        </w:rPr>
        <w:t xml:space="preserve">na podstawie </w:t>
      </w:r>
      <w:r w:rsidRPr="00AF102D">
        <w:rPr>
          <w:rFonts w:ascii="Times New Roman" w:hAnsi="Times New Roman" w:cs="Times New Roman"/>
          <w:u w:val="single"/>
        </w:rPr>
        <w:t>ogólnie przyjęt</w:t>
      </w:r>
      <w:r w:rsidR="00957147" w:rsidRPr="00AF102D">
        <w:rPr>
          <w:rFonts w:ascii="Times New Roman" w:hAnsi="Times New Roman" w:cs="Times New Roman"/>
          <w:u w:val="single"/>
        </w:rPr>
        <w:t>ych</w:t>
      </w:r>
      <w:r w:rsidRPr="00AF102D">
        <w:rPr>
          <w:rFonts w:ascii="Times New Roman" w:hAnsi="Times New Roman" w:cs="Times New Roman"/>
          <w:u w:val="single"/>
        </w:rPr>
        <w:t xml:space="preserve"> zasad w dorobku orzecznictwa </w:t>
      </w:r>
      <w:r w:rsidRPr="00AF102D">
        <w:rPr>
          <w:rFonts w:ascii="Times New Roman" w:hAnsi="Times New Roman" w:cs="Times New Roman"/>
          <w:u w:val="single"/>
        </w:rPr>
        <w:br/>
        <w:t>i doktryny w perspektywie ostatnich kilkudziesięciu lat”</w:t>
      </w:r>
      <w:r w:rsidRPr="00AF102D">
        <w:rPr>
          <w:rFonts w:ascii="Times New Roman" w:hAnsi="Times New Roman" w:cs="Times New Roman"/>
        </w:rPr>
        <w:t xml:space="preserve">. Z powyższego </w:t>
      </w:r>
      <w:r w:rsidR="00957147" w:rsidRPr="00AF102D">
        <w:rPr>
          <w:rFonts w:ascii="Times New Roman" w:hAnsi="Times New Roman" w:cs="Times New Roman"/>
        </w:rPr>
        <w:t xml:space="preserve">należy </w:t>
      </w:r>
      <w:r w:rsidRPr="00AF102D">
        <w:rPr>
          <w:rFonts w:ascii="Times New Roman" w:hAnsi="Times New Roman" w:cs="Times New Roman"/>
        </w:rPr>
        <w:t>wywieść wniosek, że projektodawca posiadał wiedzę w przedmiocie ukształtowanego orzecznictwa dotyczącego zakazów dowodowych w polskiej procedurze karnej.</w:t>
      </w:r>
    </w:p>
    <w:p w:rsidR="00CA37C6" w:rsidRPr="00AF102D" w:rsidRDefault="00957147" w:rsidP="00CA37C6">
      <w:pPr>
        <w:pStyle w:val="Bezodstpw"/>
        <w:spacing w:line="360" w:lineRule="auto"/>
        <w:ind w:firstLine="567"/>
        <w:jc w:val="both"/>
        <w:rPr>
          <w:rFonts w:ascii="Times New Roman" w:hAnsi="Times New Roman" w:cs="Times New Roman"/>
        </w:rPr>
      </w:pPr>
      <w:r w:rsidRPr="00AF102D">
        <w:rPr>
          <w:rFonts w:ascii="Times New Roman" w:hAnsi="Times New Roman" w:cs="Times New Roman"/>
        </w:rPr>
        <w:t xml:space="preserve">Tytułem potwierdzenia wypracowania przez </w:t>
      </w:r>
      <w:r w:rsidR="00CA37C6" w:rsidRPr="00AF102D">
        <w:rPr>
          <w:rFonts w:ascii="Times New Roman" w:hAnsi="Times New Roman" w:cs="Times New Roman"/>
        </w:rPr>
        <w:t>judykatur</w:t>
      </w:r>
      <w:r w:rsidRPr="00AF102D">
        <w:rPr>
          <w:rFonts w:ascii="Times New Roman" w:hAnsi="Times New Roman" w:cs="Times New Roman"/>
        </w:rPr>
        <w:t xml:space="preserve">ę </w:t>
      </w:r>
      <w:r w:rsidR="00CA37C6" w:rsidRPr="00AF102D">
        <w:rPr>
          <w:rFonts w:ascii="Times New Roman" w:hAnsi="Times New Roman" w:cs="Times New Roman"/>
        </w:rPr>
        <w:t>jednolite</w:t>
      </w:r>
      <w:r w:rsidRPr="00AF102D">
        <w:rPr>
          <w:rFonts w:ascii="Times New Roman" w:hAnsi="Times New Roman" w:cs="Times New Roman"/>
        </w:rPr>
        <w:t>go</w:t>
      </w:r>
      <w:r w:rsidR="00CA37C6" w:rsidRPr="00AF102D">
        <w:rPr>
          <w:rFonts w:ascii="Times New Roman" w:hAnsi="Times New Roman" w:cs="Times New Roman"/>
        </w:rPr>
        <w:t xml:space="preserve"> stanowisk</w:t>
      </w:r>
      <w:r w:rsidRPr="00AF102D">
        <w:rPr>
          <w:rFonts w:ascii="Times New Roman" w:hAnsi="Times New Roman" w:cs="Times New Roman"/>
        </w:rPr>
        <w:t xml:space="preserve">a </w:t>
      </w:r>
      <w:r w:rsidR="00CA37C6" w:rsidRPr="00AF102D">
        <w:rPr>
          <w:rFonts w:ascii="Times New Roman" w:hAnsi="Times New Roman" w:cs="Times New Roman"/>
        </w:rPr>
        <w:t>w tym zak</w:t>
      </w:r>
      <w:r w:rsidR="00FF2ECA" w:rsidRPr="00AF102D">
        <w:rPr>
          <w:rFonts w:ascii="Times New Roman" w:hAnsi="Times New Roman" w:cs="Times New Roman"/>
        </w:rPr>
        <w:t>resie</w:t>
      </w:r>
      <w:r w:rsidRPr="00AF102D">
        <w:rPr>
          <w:rFonts w:ascii="Times New Roman" w:hAnsi="Times New Roman" w:cs="Times New Roman"/>
        </w:rPr>
        <w:t xml:space="preserve">, godzi się przytoczyć przykłady motywów </w:t>
      </w:r>
      <w:r w:rsidR="0057653A" w:rsidRPr="00AF102D">
        <w:rPr>
          <w:rFonts w:ascii="Times New Roman" w:hAnsi="Times New Roman" w:cs="Times New Roman"/>
        </w:rPr>
        <w:t>następują</w:t>
      </w:r>
      <w:r w:rsidR="00FF2ECA" w:rsidRPr="00AF102D">
        <w:rPr>
          <w:rFonts w:ascii="Times New Roman" w:hAnsi="Times New Roman" w:cs="Times New Roman"/>
        </w:rPr>
        <w:t>cych</w:t>
      </w:r>
      <w:r w:rsidR="00CA37C6" w:rsidRPr="00AF102D">
        <w:rPr>
          <w:rFonts w:ascii="Times New Roman" w:hAnsi="Times New Roman" w:cs="Times New Roman"/>
        </w:rPr>
        <w:t xml:space="preserve"> orzecze</w:t>
      </w:r>
      <w:r w:rsidR="00FF2ECA" w:rsidRPr="00AF102D">
        <w:rPr>
          <w:rFonts w:ascii="Times New Roman" w:hAnsi="Times New Roman" w:cs="Times New Roman"/>
        </w:rPr>
        <w:t>ń</w:t>
      </w:r>
      <w:r w:rsidR="0057653A" w:rsidRPr="00AF102D">
        <w:rPr>
          <w:rFonts w:ascii="Times New Roman" w:hAnsi="Times New Roman" w:cs="Times New Roman"/>
        </w:rPr>
        <w:t>:</w:t>
      </w:r>
      <w:r w:rsidR="00CA37C6" w:rsidRPr="00AF102D">
        <w:rPr>
          <w:rFonts w:ascii="Times New Roman" w:hAnsi="Times New Roman" w:cs="Times New Roman"/>
        </w:rPr>
        <w:t xml:space="preserve"> </w:t>
      </w:r>
    </w:p>
    <w:p w:rsidR="0057653A" w:rsidRPr="00AF102D" w:rsidRDefault="0057653A" w:rsidP="0057653A">
      <w:pPr>
        <w:pStyle w:val="Bezodstpw"/>
        <w:numPr>
          <w:ilvl w:val="0"/>
          <w:numId w:val="1"/>
        </w:numPr>
        <w:spacing w:line="360" w:lineRule="auto"/>
        <w:ind w:left="284" w:hanging="284"/>
        <w:jc w:val="both"/>
        <w:rPr>
          <w:rFonts w:ascii="Times New Roman" w:eastAsiaTheme="minorHAnsi" w:hAnsi="Times New Roman" w:cs="Times New Roman"/>
          <w:lang w:eastAsia="en-US"/>
        </w:rPr>
      </w:pPr>
      <w:r w:rsidRPr="00AF102D">
        <w:rPr>
          <w:rFonts w:ascii="Times New Roman" w:hAnsi="Times New Roman" w:cs="Times New Roman"/>
        </w:rPr>
        <w:t>w uzasadnieniu postanowienia</w:t>
      </w:r>
      <w:r w:rsidR="00FF2ECA" w:rsidRPr="00AF102D">
        <w:rPr>
          <w:rFonts w:ascii="Times New Roman" w:hAnsi="Times New Roman" w:cs="Times New Roman"/>
        </w:rPr>
        <w:t xml:space="preserve"> o sygnaturze</w:t>
      </w:r>
      <w:r w:rsidRPr="00AF102D">
        <w:rPr>
          <w:rFonts w:ascii="Times New Roman" w:hAnsi="Times New Roman" w:cs="Times New Roman"/>
        </w:rPr>
        <w:t xml:space="preserve"> II KK 265/13 z 19 marca 2014 r. Sąd Najwyższy stwierdził, że: </w:t>
      </w:r>
      <w:r w:rsidRPr="00AF102D">
        <w:rPr>
          <w:rFonts w:ascii="Times New Roman" w:eastAsiaTheme="minorHAnsi" w:hAnsi="Times New Roman" w:cs="Times New Roman"/>
          <w:lang w:eastAsia="en-US"/>
        </w:rPr>
        <w:t xml:space="preserve">„przepis art. 2 Konstytucji stanowi, że Rzeczpospolita Polska jest państwem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o demokratycznym porządku prawnym, urzeczywistniającym zasady sprawiedliwości społecznej, zaś według wyrażonej w art. 7 zasady organy władzy publicznej działają </w:t>
      </w:r>
      <w:r w:rsidR="00AC17E1">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na podstawie i w granicach prawa. Należy też mieć na uwadze art. 45 ust. 1 ustawy zasadniczej, gwarantujący prawo do sprawiedliwego i bezstronnego rozpatrzenia sprawy. Odwołując się zarówno do Konstytucji RP, jak i do orzecznictwa Europejskiego Trybunału </w:t>
      </w:r>
      <w:r w:rsidRPr="00AF102D">
        <w:rPr>
          <w:rFonts w:ascii="Times New Roman" w:eastAsiaTheme="minorHAnsi" w:hAnsi="Times New Roman" w:cs="Times New Roman"/>
          <w:lang w:eastAsia="en-US"/>
        </w:rPr>
        <w:lastRenderedPageBreak/>
        <w:t xml:space="preserve">Praw Człowieka w Strasburgu oraz literatury prawniczej, należy podkreślić rzecz </w:t>
      </w:r>
      <w:r w:rsidR="00AC17E1">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o kardynalnym znaczeniu, a mianowicie, że demokratyczne państwo prawa nie może przy użyciu tajnych i podstępnych metod podejmować następujących działań przeciwko własnym obywatelom:</w:t>
      </w:r>
    </w:p>
    <w:p w:rsidR="0057653A" w:rsidRPr="00AF102D" w:rsidRDefault="0057653A" w:rsidP="0057653A">
      <w:pPr>
        <w:pStyle w:val="Bezodstpw"/>
        <w:spacing w:line="360" w:lineRule="auto"/>
        <w:ind w:left="284" w:firstLine="567"/>
        <w:jc w:val="both"/>
        <w:rPr>
          <w:rFonts w:ascii="Times New Roman" w:eastAsiaTheme="minorHAnsi" w:hAnsi="Times New Roman" w:cs="Times New Roman"/>
          <w:lang w:eastAsia="en-US"/>
        </w:rPr>
      </w:pPr>
      <w:r w:rsidRPr="00AF102D">
        <w:rPr>
          <w:rFonts w:ascii="Times New Roman" w:eastAsiaTheme="minorHAnsi" w:hAnsi="Times New Roman" w:cs="Times New Roman"/>
          <w:lang w:eastAsia="en-US"/>
        </w:rPr>
        <w:t xml:space="preserve">- testować uczciwości obywateli poprzez wykonywanie swoistego testu na ich moralność czy nieprzekupność, sprawdzać ich podatności do ewentualnego dokonania czynu zabronionego, poprzez prowokowanie ich do popełnienia przestępstwa, nie może </w:t>
      </w:r>
      <w:r w:rsidR="00AC17E1">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też dokonywać wyrywkowej, niejako </w:t>
      </w:r>
      <w:r w:rsidR="00AF102D">
        <w:rPr>
          <w:rFonts w:ascii="Times New Roman" w:eastAsiaTheme="minorHAnsi" w:hAnsi="Times New Roman" w:cs="Times New Roman"/>
          <w:lang w:eastAsia="en-US"/>
        </w:rPr>
        <w:t>„</w:t>
      </w:r>
      <w:r w:rsidRPr="00AF102D">
        <w:rPr>
          <w:rFonts w:ascii="Times New Roman" w:eastAsiaTheme="minorHAnsi" w:hAnsi="Times New Roman" w:cs="Times New Roman"/>
          <w:lang w:eastAsia="en-US"/>
        </w:rPr>
        <w:t>na chybił trafił</w:t>
      </w:r>
      <w:r w:rsidR="00AF102D">
        <w:rPr>
          <w:rFonts w:ascii="Times New Roman" w:eastAsiaTheme="minorHAnsi" w:hAnsi="Times New Roman" w:cs="Times New Roman"/>
          <w:lang w:eastAsia="en-US"/>
        </w:rPr>
        <w:t>”</w:t>
      </w:r>
      <w:r w:rsidRPr="00AF102D">
        <w:rPr>
          <w:rFonts w:ascii="Times New Roman" w:eastAsiaTheme="minorHAnsi" w:hAnsi="Times New Roman" w:cs="Times New Roman"/>
          <w:lang w:eastAsia="en-US"/>
        </w:rPr>
        <w:t>, kontroli obywateli w tym zakresie;</w:t>
      </w:r>
    </w:p>
    <w:p w:rsidR="0057653A" w:rsidRPr="00AF102D" w:rsidRDefault="0057653A" w:rsidP="0057653A">
      <w:pPr>
        <w:pStyle w:val="Bezodstpw"/>
        <w:spacing w:line="360" w:lineRule="auto"/>
        <w:ind w:left="284" w:firstLine="567"/>
        <w:jc w:val="both"/>
        <w:rPr>
          <w:rFonts w:ascii="Times New Roman" w:eastAsiaTheme="minorHAnsi" w:hAnsi="Times New Roman" w:cs="Times New Roman"/>
          <w:lang w:eastAsia="en-US"/>
        </w:rPr>
      </w:pPr>
      <w:r w:rsidRPr="00AF102D">
        <w:rPr>
          <w:rFonts w:ascii="Times New Roman" w:eastAsiaTheme="minorHAnsi" w:hAnsi="Times New Roman" w:cs="Times New Roman"/>
          <w:lang w:eastAsia="en-US"/>
        </w:rPr>
        <w:t xml:space="preserve">- nie może kierować agentów służb specjalnych przeciwko przypadkowo, losowo wybranym osobom i prowadzić inwigilację poprzez czynności operacyjno-rozpoznawcze,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w tym również w postaci </w:t>
      </w:r>
      <w:proofErr w:type="spellStart"/>
      <w:r w:rsidRPr="00AF102D">
        <w:rPr>
          <w:rFonts w:ascii="Times New Roman" w:eastAsiaTheme="minorHAnsi" w:hAnsi="Times New Roman" w:cs="Times New Roman"/>
          <w:lang w:eastAsia="en-US"/>
        </w:rPr>
        <w:t>wideoobserwacji</w:t>
      </w:r>
      <w:proofErr w:type="spellEnd"/>
      <w:r w:rsidRPr="00AF102D">
        <w:rPr>
          <w:rFonts w:ascii="Times New Roman" w:eastAsiaTheme="minorHAnsi" w:hAnsi="Times New Roman" w:cs="Times New Roman"/>
          <w:lang w:eastAsia="en-US"/>
        </w:rPr>
        <w:t xml:space="preserve"> czy też samego podsłuchu, w oczekiwaniu,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że wcześniej czy później obserwowana osoba, bądź grupa osób, przejawi zamiar popełnienia przestępstwa lub dopuści się jakiegoś czynu zabronionego;</w:t>
      </w:r>
    </w:p>
    <w:p w:rsidR="0057653A" w:rsidRPr="00AF102D" w:rsidRDefault="0057653A" w:rsidP="0057653A">
      <w:pPr>
        <w:pStyle w:val="Bezodstpw"/>
        <w:spacing w:line="360" w:lineRule="auto"/>
        <w:ind w:left="284" w:firstLine="567"/>
        <w:jc w:val="both"/>
        <w:rPr>
          <w:rFonts w:ascii="Times New Roman" w:eastAsiaTheme="minorHAnsi" w:hAnsi="Times New Roman" w:cs="Times New Roman"/>
          <w:lang w:eastAsia="en-US"/>
        </w:rPr>
      </w:pPr>
      <w:r w:rsidRPr="00AF102D">
        <w:rPr>
          <w:rFonts w:ascii="Times New Roman" w:eastAsiaTheme="minorHAnsi" w:hAnsi="Times New Roman" w:cs="Times New Roman"/>
          <w:lang w:eastAsia="en-US"/>
        </w:rPr>
        <w:t xml:space="preserve">- w demokratycznym porządku prawnym niedopuszczalne jest zastawianie pułapki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na obywatela, który dopiero w zetknięciu z funkcjonariuszem służb specjalnych </w:t>
      </w:r>
      <w:r w:rsidR="00AC17E1">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po raz pierwszy popełnia przestępstwo.</w:t>
      </w:r>
    </w:p>
    <w:p w:rsidR="00AF102D" w:rsidRDefault="0057653A" w:rsidP="0057653A">
      <w:pPr>
        <w:pStyle w:val="Bezodstpw"/>
        <w:spacing w:line="360" w:lineRule="auto"/>
        <w:ind w:left="284" w:firstLine="567"/>
        <w:jc w:val="both"/>
        <w:rPr>
          <w:rFonts w:ascii="Times New Roman" w:eastAsiaTheme="minorHAnsi" w:hAnsi="Times New Roman" w:cs="Times New Roman"/>
          <w:lang w:eastAsia="en-US"/>
        </w:rPr>
      </w:pPr>
      <w:r w:rsidRPr="00AF102D">
        <w:rPr>
          <w:rFonts w:ascii="Times New Roman" w:eastAsiaTheme="minorHAnsi" w:hAnsi="Times New Roman" w:cs="Times New Roman"/>
          <w:lang w:eastAsia="en-US"/>
        </w:rPr>
        <w:t xml:space="preserve">Jak podkreśla się w literaturze prawniczej, tego rodzaju metody godzą w podstawowe wartości i zasady państwa demokratycznego i są charakterystyczne dla systemów autokratycznych (zob. J. Mąka: Instytucja prowokacji w praktyce działania służb policyjnych - Prok. i Pr. 2010, nr 1-2, s. 156 i 174; K. Rogoziński: Wiarygodne informacje o przestępstwie jako przesłanka zarządzenia zakupu kontrolowanego - Prok. i Pr. 2010, nr 10, s. 107-108; </w:t>
      </w:r>
      <w:r w:rsidR="00BE6F4E">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M. </w:t>
      </w:r>
      <w:proofErr w:type="spellStart"/>
      <w:r w:rsidRPr="00AF102D">
        <w:rPr>
          <w:rFonts w:ascii="Times New Roman" w:eastAsiaTheme="minorHAnsi" w:hAnsi="Times New Roman" w:cs="Times New Roman"/>
          <w:lang w:eastAsia="en-US"/>
        </w:rPr>
        <w:t>Klejnowska</w:t>
      </w:r>
      <w:proofErr w:type="spellEnd"/>
      <w:r w:rsidRPr="00AF102D">
        <w:rPr>
          <w:rFonts w:ascii="Times New Roman" w:eastAsiaTheme="minorHAnsi" w:hAnsi="Times New Roman" w:cs="Times New Roman"/>
          <w:lang w:eastAsia="en-US"/>
        </w:rPr>
        <w:t xml:space="preserve">: Podsłuch operacyjny i prowokacja policyjna - Prok. i Pr. 2004, nr 3, s. 103; W. </w:t>
      </w:r>
      <w:proofErr w:type="spellStart"/>
      <w:r w:rsidRPr="00AF102D">
        <w:rPr>
          <w:rFonts w:ascii="Times New Roman" w:eastAsiaTheme="minorHAnsi" w:hAnsi="Times New Roman" w:cs="Times New Roman"/>
          <w:lang w:eastAsia="en-US"/>
        </w:rPr>
        <w:t>Gontarski</w:t>
      </w:r>
      <w:proofErr w:type="spellEnd"/>
      <w:r w:rsidRPr="00AF102D">
        <w:rPr>
          <w:rFonts w:ascii="Times New Roman" w:eastAsiaTheme="minorHAnsi" w:hAnsi="Times New Roman" w:cs="Times New Roman"/>
          <w:lang w:eastAsia="en-US"/>
        </w:rPr>
        <w:t xml:space="preserve">: Granice legalności prowokacji policyjnej - opinia prawna sporządzona na zlecenie Kancelarii Sejmu RP 13 lipca 2007 r. - Gaz. Sąd. 2007, nr 11, s. 17; R. Lizak: Kontrolowane przyjęcie lub wręczenie korzyści majątkowej - WPP 2011, nr 1, s. 31; </w:t>
      </w:r>
      <w:r w:rsidR="00BE6F4E">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M. Kołodziejczak, A. Sobiech: Prawnie dopuszczalne postacie prowokacji - </w:t>
      </w:r>
      <w:proofErr w:type="spellStart"/>
      <w:r w:rsidRPr="00AF102D">
        <w:rPr>
          <w:rFonts w:ascii="Times New Roman" w:eastAsiaTheme="minorHAnsi" w:hAnsi="Times New Roman" w:cs="Times New Roman"/>
          <w:lang w:eastAsia="en-US"/>
        </w:rPr>
        <w:t>PiP</w:t>
      </w:r>
      <w:proofErr w:type="spellEnd"/>
      <w:r w:rsidRPr="00AF102D">
        <w:rPr>
          <w:rFonts w:ascii="Times New Roman" w:eastAsiaTheme="minorHAnsi" w:hAnsi="Times New Roman" w:cs="Times New Roman"/>
          <w:lang w:eastAsia="en-US"/>
        </w:rPr>
        <w:t xml:space="preserve"> 2010, nr 11, s. 39, 41, 44-45; L. Gardocki: Różne rodzaje prowokacji - Rzeczpospolita z dnia 13 czerwca 2005 r., nr 136; S. Hoc, P. Szustakiewicz: Ustawa o Centralnym Biurze Antykorupcyjnym. Komentarz. Wyd. elektroniczne Lex/el., 2012. Uwagi do art. 19, tezy 8 i 9; W. Kotowski: Ustawa o Policji. Komentarz. Warszawa 2012, s. 435-436). Ze wskazanym powyżej </w:t>
      </w:r>
      <w:r w:rsidR="00BE6F4E">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art. 45 ust. 1 Konstytucji RP koresponduje przepis art. 6 ust. 1 Konwencji o ochronie praw człowieka i podstawowych wolności, gwarantujący prawo do rzetelnego procesu. Gwarancje te obejmują konieczność rozstrzygania każdej sprawy karnej na podstawie takich dowodów, które w ramach konkretnego systemu procesowego są prawem przewidziane bądź z nim niesprzeczne, czyli legalne. W doktrynie prawa karnego z zakresu dowodów podkreśla się, </w:t>
      </w:r>
      <w:r w:rsidR="00BE6F4E">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lastRenderedPageBreak/>
        <w:t xml:space="preserve">że właśnie "w sferze dowodowej zakotwiczone są gwarancje praw jednostki w procesie karnym, a tylko respektowanie tych gwarancji pozwala uznać rozstrzygnięcie sądu karnego </w:t>
      </w:r>
      <w:r w:rsidR="00BE6F4E">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za prawidłowe" (Z. Doda, A. </w:t>
      </w:r>
      <w:proofErr w:type="spellStart"/>
      <w:r w:rsidRPr="00AF102D">
        <w:rPr>
          <w:rFonts w:ascii="Times New Roman" w:eastAsiaTheme="minorHAnsi" w:hAnsi="Times New Roman" w:cs="Times New Roman"/>
          <w:lang w:eastAsia="en-US"/>
        </w:rPr>
        <w:t>Gaberle</w:t>
      </w:r>
      <w:proofErr w:type="spellEnd"/>
      <w:r w:rsidRPr="00AF102D">
        <w:rPr>
          <w:rFonts w:ascii="Times New Roman" w:eastAsiaTheme="minorHAnsi" w:hAnsi="Times New Roman" w:cs="Times New Roman"/>
          <w:lang w:eastAsia="en-US"/>
        </w:rPr>
        <w:t xml:space="preserve">: Dowody w procesie karnym, Warszawa 1995, s. 22, wstęp - Od autorów). Wymienione powyżej podstawowe zasady prowadzą do wniosku, że nie jest możliwe zaakceptowanie sytuacji, w której funkcjonariusze demokratycznego państwa, funkcjonariusze władzy publicznej, mogliby gromadzić materiał dowodowy wbrew obowiązującemu prawu, natomiast zgodnie z prawem, na podstawie właśnie tego materiału, obywatele mieliby ponosić odpowiedzialność karną. Każde państwo odpowiada za bezprawną działalność swoich funkcjonariuszy służb specjalnych, a tej odpowiedzialności nie może wyłączać powoływanie się na interes społeczny w zwalczaniu przestępczości. </w:t>
      </w:r>
    </w:p>
    <w:p w:rsidR="0057653A" w:rsidRPr="00AF102D" w:rsidRDefault="0057653A" w:rsidP="0057653A">
      <w:pPr>
        <w:pStyle w:val="Bezodstpw"/>
        <w:spacing w:line="360" w:lineRule="auto"/>
        <w:ind w:left="284" w:firstLine="567"/>
        <w:jc w:val="both"/>
        <w:rPr>
          <w:rFonts w:ascii="Times New Roman" w:eastAsiaTheme="minorHAnsi" w:hAnsi="Times New Roman" w:cs="Times New Roman"/>
          <w:lang w:eastAsia="en-US"/>
        </w:rPr>
      </w:pPr>
      <w:r w:rsidRPr="00AF102D">
        <w:rPr>
          <w:rFonts w:ascii="Times New Roman" w:eastAsiaTheme="minorHAnsi" w:hAnsi="Times New Roman" w:cs="Times New Roman"/>
          <w:lang w:eastAsia="en-US"/>
        </w:rPr>
        <w:t xml:space="preserve">W orzecznictwie Sądu Najwyższego oraz sądów powszechnych wskazuje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się jednoznacznie i w sposób zdecydowany, że prawo do rzetelnego procesu zajmuje </w:t>
      </w:r>
      <w:r w:rsidR="00176AA2">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tak ważne miejsce w katalogu praw każdego człowieka postawionego w stan oskarżenia, </w:t>
      </w:r>
      <w:r w:rsidR="00176AA2">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że nie można go poświęcić na rzecz skuteczności ścigania przestępstw. Interes publiczny bowiem nie może usprawiedliwiać posługiwania się dowodami uzyskanymi w drodze nielegalnej. Ich użycie, rezygnując z oceny, czy działanie to jest moralne (służby łamią prawo w celu zdobycia dowodów na to, że inna osoba złamała prawo), powoduje, że postępowanie staje się nierzetelne, tym bardziej że ich dopuszczenie byłoby rozstrzygające dla orzeczenia </w:t>
      </w:r>
      <w:r w:rsidR="00176AA2">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o winie oskarżonych (por. postanowienia Sądu Najwyższego: z dnia 14 stycznia 2004 r., IV KK 200/03, LEX nr 162404; z dnia 30 listopada 2010 r., III KK 152/10, OSNKW 2011, z. 1, poz. 8; wyroki: Sądu Apelacyjnego w Katowicach z dnia 11 października 2012 r., II </w:t>
      </w:r>
      <w:proofErr w:type="spellStart"/>
      <w:r w:rsidRPr="00AF102D">
        <w:rPr>
          <w:rFonts w:ascii="Times New Roman" w:eastAsiaTheme="minorHAnsi" w:hAnsi="Times New Roman" w:cs="Times New Roman"/>
          <w:lang w:eastAsia="en-US"/>
        </w:rPr>
        <w:t>AKa</w:t>
      </w:r>
      <w:proofErr w:type="spellEnd"/>
      <w:r w:rsidRPr="00AF102D">
        <w:rPr>
          <w:rFonts w:ascii="Times New Roman" w:eastAsiaTheme="minorHAnsi" w:hAnsi="Times New Roman" w:cs="Times New Roman"/>
          <w:lang w:eastAsia="en-US"/>
        </w:rPr>
        <w:t xml:space="preserve"> 368/12, LEX nr 1356401 i Sądu Okręgowego w Białymstoku z dnia 26 listopada 2009 r., III K 224/08, LEX nr 1294013).”</w:t>
      </w:r>
    </w:p>
    <w:p w:rsidR="0057653A" w:rsidRPr="00AF102D" w:rsidRDefault="0057653A" w:rsidP="00773866">
      <w:pPr>
        <w:pStyle w:val="Bezodstpw"/>
        <w:numPr>
          <w:ilvl w:val="0"/>
          <w:numId w:val="1"/>
        </w:numPr>
        <w:spacing w:line="360" w:lineRule="auto"/>
        <w:ind w:left="284" w:hanging="284"/>
        <w:jc w:val="both"/>
        <w:rPr>
          <w:rFonts w:ascii="Times New Roman" w:hAnsi="Times New Roman" w:cs="Times New Roman"/>
        </w:rPr>
      </w:pPr>
      <w:r w:rsidRPr="00AF102D">
        <w:rPr>
          <w:rFonts w:ascii="Times New Roman" w:hAnsi="Times New Roman" w:cs="Times New Roman"/>
        </w:rPr>
        <w:t>w uzasadnieniu postanowienia</w:t>
      </w:r>
      <w:r w:rsidR="00FF2ECA" w:rsidRPr="00AF102D">
        <w:rPr>
          <w:rFonts w:ascii="Times New Roman" w:hAnsi="Times New Roman" w:cs="Times New Roman"/>
        </w:rPr>
        <w:t xml:space="preserve"> o sygnaturze</w:t>
      </w:r>
      <w:r w:rsidRPr="00AF102D">
        <w:rPr>
          <w:rFonts w:ascii="Times New Roman" w:hAnsi="Times New Roman" w:cs="Times New Roman"/>
        </w:rPr>
        <w:t xml:space="preserve"> I KZP 6/07 z 26 kwietnia 2007 r. Sąd Najwyższy stwierdził, że: „</w:t>
      </w:r>
      <w:r w:rsidRPr="00AF102D">
        <w:rPr>
          <w:rFonts w:ascii="Times New Roman" w:eastAsiaTheme="minorHAnsi" w:hAnsi="Times New Roman" w:cs="Times New Roman"/>
          <w:lang w:eastAsia="en-US"/>
        </w:rPr>
        <w:t xml:space="preserve">regulacja zawarta w art. 19 ustawy o Policji, w tym także przepis art. 19 ust. 15 dotyczą bezspornie sfery praw i wolności obywatelskich, wprowadzając istotne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ich ograniczenie. Kontrola operacyjna niewątpliwie wkracza w sferę tych praw, zwłaszcza prawa do ochrony życia prywatnego (art. 47 Konstytucji), wolności komunikowania się oraz prawa do ochrony nienaruszalności mieszkania (art. 50 Konstytucji). Dokonując zatem interpretacji tych przepisów, należy mieć na uwadze z jednej strony zasadę tzw. życzliwej interpretacji przepisów dotyczących praw i wolności obywatelskich i uwzględniać przy interpretacji zasadę proporcjonalności, z drugiej zaś strony należy baczyć, aby wykładnia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ta nie prowadziła do rezultatu pozostającego w sprzeczności z Konstytucją. Zastosowanie wykładni literalnej w sposób, w jaki przyjmuje się to w orzecznictwie sądów dyscyplinarnych dla prokuratorów prowadziłoby do nadania interpretowanemu przepisowi ust. 15 art. 19 sensu </w:t>
      </w:r>
      <w:r w:rsidRPr="00AF102D">
        <w:rPr>
          <w:rFonts w:ascii="Times New Roman" w:eastAsiaTheme="minorHAnsi" w:hAnsi="Times New Roman" w:cs="Times New Roman"/>
          <w:lang w:eastAsia="en-US"/>
        </w:rPr>
        <w:lastRenderedPageBreak/>
        <w:t xml:space="preserve">niezgodnego z Konstytucją. Interpretacja, w myśl której dopuszczalne jest zachowanie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i dowodowe wykorzystywanie materiałów zgromadzonych podczas kontroli operacyjnej, które wszakże nie mieszczą się w granicach dopuszczalności tej kontroli (a tym samym legalizującej zgody sądu) prowadzi do sprzeczności art. 19 ust. 15 oraz ust. 17 ustawy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o Policji z art. 51 ust. 4 Konstytucji. Oznacza bowiem możliwość zachowania materiałów zebranych w sposób sprzeczny z ustawą, chociaż Konstytucja przewiduje prawo każdego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do usunięcia tego typu informacji. Należy wskazać, że na gruncie ustawy wykluczone jest wydanie przez sąd zgody (czy to uprzedniej czy to następczej) na przeprowadzenie kontroli operacyjnej dotyczącej innych przestępstw niż wymienione w art. 19 ust. 1. Płynie stąd jednoznaczny wniosek, że uzyskane w ramach tej kontroli materiały stanowiące dowody popełnienia przestępstw innych niż wymienione bezpośrednio we wspominanym przepisie, gromadzone są w sposób sprzeczny z prawem. Nie można bowiem domniemywać, że zgoda sądu na konkretną kontrolę operacyjną legalizuje gromadzenie jakichkolwiek informacji uzyskiwanych w ramach tej kontroli. Zgoda ta może bowiem obejmować wyłącznie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ten zakres działań i uzyskiwanych w ten sposób informacji, który spełnia warunki wynikające z treści art. 19 ust. 1. Nie można więc domniemywać, że zgoda ta obejmuje także gromadzenie "przy okazji" materiałów, dotyczących innych przestępstw niż wskazane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w art. 19 ust. 1 ustawy o Policji. Sąd nie może bowiem zgody takiej wyrazić. Nie może także niejako ryczałtowo legalizować wszelkich działań podejmowanych "podczas" kontroli operacyjnej.  Informacje uzyskane w trakcie kontroli operacyjnej, które wykraczają więc poza granice jej dopuszczalności, określone w art. 19 ust. 1, a tym samym nie mogą być objęte zgodą sądu, zbierane są w sposób sprzeczny z ustawą. W tym sensie wchodzą w zakres uregulowania art. 51 ust. 4 Konstytucji RP, który przewiduje, że każdy ma prawo do żądania usunięcia dotyczących go informacji "zebranych w sposób sprzeczny z ustawą". Gwarancją realizacji tego prawa jest art. 19 ust. 17 ustawy o Policji, który przewiduje obowiązek zniszczenia materiałów zgromadzonych podczas kontroli operacyjnej "niezawierających dowodów pozwalających na wszczęcie postępowania karnego". Obowiązek ten obejmuje więc zarówno materiały, które mieściły się w granicach kontroli operacyjnej wyznaczonych przez treść art. 19 ust. 1, ale niezawierających dowodów popełnienia przestępstwa "katalogowego", jak również materiały zgromadzone "podczas" kontroli, które jednak wykraczały poza te granice. W wyroku z dnia 12 grudnia 2005 r. (K 32/04) Trybunał Konstytucyjny, prezentując standard, jaki wynika z treści art. 8 Europejskiej Konwencji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o Ochronie Praw Człowieka i Podstawowych Wolności oraz orzecznictwa Europejskiego Trybunału Praw Człowieka w zakresie wyjątkowej dopuszczalności ingerencji w sferę prywatności jednostki, podkreślił, że "eksces, polegający na tym, że «przy okazji» zbierania </w:t>
      </w:r>
      <w:r w:rsidRPr="00AF102D">
        <w:rPr>
          <w:rFonts w:ascii="Times New Roman" w:eastAsiaTheme="minorHAnsi" w:hAnsi="Times New Roman" w:cs="Times New Roman"/>
          <w:lang w:eastAsia="en-US"/>
        </w:rPr>
        <w:lastRenderedPageBreak/>
        <w:t>materiału operacyjnie przydatnego, kontrola operacyjna zgromadzi także dane dotyczące kwestii prywatnych, obyczajowych - wykraczających poza cel prowadzenia kontroli, oznacza działanie władzy poza zakresem dozwolonego wkroczenia w sferę prywatności".</w:t>
      </w:r>
    </w:p>
    <w:p w:rsidR="00773866" w:rsidRPr="00AF102D" w:rsidRDefault="00773866" w:rsidP="00773866">
      <w:pPr>
        <w:pStyle w:val="Bezodstpw"/>
        <w:numPr>
          <w:ilvl w:val="0"/>
          <w:numId w:val="1"/>
        </w:numPr>
        <w:spacing w:line="360" w:lineRule="auto"/>
        <w:ind w:left="284" w:hanging="284"/>
        <w:jc w:val="both"/>
        <w:rPr>
          <w:rFonts w:ascii="Times New Roman" w:hAnsi="Times New Roman" w:cs="Times New Roman"/>
        </w:rPr>
      </w:pPr>
      <w:r w:rsidRPr="00AF102D">
        <w:rPr>
          <w:rFonts w:ascii="Times New Roman" w:hAnsi="Times New Roman" w:cs="Times New Roman"/>
        </w:rPr>
        <w:t>w uzasadnieniu postanowienia</w:t>
      </w:r>
      <w:r w:rsidR="00FF2ECA" w:rsidRPr="00AF102D">
        <w:rPr>
          <w:rFonts w:ascii="Times New Roman" w:hAnsi="Times New Roman" w:cs="Times New Roman"/>
        </w:rPr>
        <w:t xml:space="preserve"> o sygnaturze</w:t>
      </w:r>
      <w:r w:rsidRPr="00AF102D">
        <w:rPr>
          <w:rFonts w:ascii="Times New Roman" w:hAnsi="Times New Roman" w:cs="Times New Roman"/>
        </w:rPr>
        <w:t xml:space="preserve"> III KK 152/10 z 30 listopada 2010 r. Sąd Najwyższy stwierdził, że: </w:t>
      </w:r>
      <w:r w:rsidRPr="00AF102D">
        <w:rPr>
          <w:rFonts w:ascii="Times New Roman" w:eastAsiaTheme="minorHAnsi" w:hAnsi="Times New Roman" w:cs="Times New Roman"/>
          <w:lang w:eastAsia="en-US"/>
        </w:rPr>
        <w:t xml:space="preserve">„Sąd Okręgowy w uzasadnieniu swojego wyroku jeszcze bardziej krytycznie i stanowczo oceniał, że czynności operacyjne podjęte wobec oskarżonego były "bezsprzecznie nielegalne", że była to "bezprawna prowokacja". Wnioski te Sąd wiązał przede wszystkim z brakiem jakiegokolwiek wymaganego przez ustawę sprawdzenia przez </w:t>
      </w:r>
      <w:r w:rsidR="00AF102D">
        <w:rPr>
          <w:rFonts w:ascii="Times New Roman" w:eastAsiaTheme="minorHAnsi" w:hAnsi="Times New Roman" w:cs="Times New Roman"/>
          <w:lang w:eastAsia="en-US"/>
        </w:rPr>
        <w:t xml:space="preserve">Policję </w:t>
      </w:r>
      <w:r w:rsidRPr="00AF102D">
        <w:rPr>
          <w:rFonts w:ascii="Times New Roman" w:eastAsiaTheme="minorHAnsi" w:hAnsi="Times New Roman" w:cs="Times New Roman"/>
          <w:lang w:eastAsia="en-US"/>
        </w:rPr>
        <w:t>wiarygodności informacji o skorumpowaniu</w:t>
      </w:r>
      <w:r w:rsidR="00940BFC" w:rsidRPr="00AF102D">
        <w:rPr>
          <w:rFonts w:ascii="Times New Roman" w:eastAsiaTheme="minorHAnsi" w:hAnsi="Times New Roman" w:cs="Times New Roman"/>
          <w:lang w:eastAsia="en-US"/>
        </w:rPr>
        <w:t xml:space="preserve"> oskarżonego</w:t>
      </w:r>
      <w:r w:rsidRPr="00AF102D">
        <w:rPr>
          <w:rFonts w:ascii="Times New Roman" w:eastAsiaTheme="minorHAnsi" w:hAnsi="Times New Roman" w:cs="Times New Roman"/>
          <w:lang w:eastAsia="en-US"/>
        </w:rPr>
        <w:t xml:space="preserve"> oraz nieprawdziwym przedstawieniem swoim przełożonym faktycznych podstaw do wyrażenia zgody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na propozycję kontrolowanego wręczenia korzyści majątkowej. Podobnie jednak, jak Sąd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a quo, także Sąd ad </w:t>
      </w:r>
      <w:proofErr w:type="spellStart"/>
      <w:r w:rsidRPr="00AF102D">
        <w:rPr>
          <w:rFonts w:ascii="Times New Roman" w:eastAsiaTheme="minorHAnsi" w:hAnsi="Times New Roman" w:cs="Times New Roman"/>
          <w:lang w:eastAsia="en-US"/>
        </w:rPr>
        <w:t>quem</w:t>
      </w:r>
      <w:proofErr w:type="spellEnd"/>
      <w:r w:rsidRPr="00AF102D">
        <w:rPr>
          <w:rFonts w:ascii="Times New Roman" w:eastAsiaTheme="minorHAnsi" w:hAnsi="Times New Roman" w:cs="Times New Roman"/>
          <w:lang w:eastAsia="en-US"/>
        </w:rPr>
        <w:t xml:space="preserve"> uznał, że naruszenie przepisów prawa przy pozyskiwaniu dowodów obciążających oskarżonego nie może ich dyskwalifikować, gdyż zakaz wykorzystywania "owoców zatrutego drzewa" w polskiej procedurze nie obowiązuje. Rozważając i analizując zgromadzony w sprawie materiał dowodowy, Sąd Okręgowy dokonał jednak jego odmiennej oceny, walor wiarygodności przyznając wyjaśnieniom</w:t>
      </w:r>
      <w:r w:rsidR="00940BFC" w:rsidRPr="00AF102D">
        <w:rPr>
          <w:rFonts w:ascii="Times New Roman" w:eastAsiaTheme="minorHAnsi" w:hAnsi="Times New Roman" w:cs="Times New Roman"/>
          <w:lang w:eastAsia="en-US"/>
        </w:rPr>
        <w:t xml:space="preserve"> oskarżonego</w:t>
      </w:r>
      <w:r w:rsidRPr="00AF102D">
        <w:rPr>
          <w:rFonts w:ascii="Times New Roman" w:eastAsiaTheme="minorHAnsi" w:hAnsi="Times New Roman" w:cs="Times New Roman"/>
          <w:lang w:eastAsia="en-US"/>
        </w:rPr>
        <w:t>, a dyskwalifikuj</w:t>
      </w:r>
      <w:r w:rsidR="00940BFC" w:rsidRPr="00AF102D">
        <w:rPr>
          <w:rFonts w:ascii="Times New Roman" w:eastAsiaTheme="minorHAnsi" w:hAnsi="Times New Roman" w:cs="Times New Roman"/>
          <w:lang w:eastAsia="en-US"/>
        </w:rPr>
        <w:t>ąc wiarygodność zeznań świadka</w:t>
      </w:r>
      <w:r w:rsidRPr="00AF102D">
        <w:rPr>
          <w:rFonts w:ascii="Times New Roman" w:eastAsiaTheme="minorHAnsi" w:hAnsi="Times New Roman" w:cs="Times New Roman"/>
          <w:lang w:eastAsia="en-US"/>
        </w:rPr>
        <w:t>, z podkreśleniem niejednoznaczności zapisu rozmowy utrwalonej w toku czynności operacyjnej. Prokurator w kasacji właśnie te ostatnie oceny starał się podważyć, obszernie i szczegóło</w:t>
      </w:r>
      <w:r w:rsidR="00940BFC" w:rsidRPr="00AF102D">
        <w:rPr>
          <w:rFonts w:ascii="Times New Roman" w:eastAsiaTheme="minorHAnsi" w:hAnsi="Times New Roman" w:cs="Times New Roman"/>
          <w:lang w:eastAsia="en-US"/>
        </w:rPr>
        <w:t>wo analizując zeznania świadka</w:t>
      </w:r>
      <w:r w:rsidRPr="00AF102D">
        <w:rPr>
          <w:rFonts w:ascii="Times New Roman" w:eastAsiaTheme="minorHAnsi" w:hAnsi="Times New Roman" w:cs="Times New Roman"/>
          <w:lang w:eastAsia="en-US"/>
        </w:rPr>
        <w:t xml:space="preserve"> i wyjaśnienia oskarżonego w kontekście uzyskanego nagrania i pozostałego materiału dowodowego. Odnośnie do prawidłowości przeprowadzenia "prowokacji policyjnej" oskarżyciel wskazał,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że wprawdzie wykorzystanie materiałów uzyskanych w ramach czynności operacyjno-rozpoznawczych należy do "najtrudniejszych wyzwań stawianych judykaturze i doktrynie procesu karnego", ale w tej sprawie nie widział powodów do zakwestionowania zasadności przeprowadzonej prowokacji. Podkreślał, że policjanci mieli podstawy do uznania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za wiarygodne infor</w:t>
      </w:r>
      <w:r w:rsidR="00940BFC" w:rsidRPr="00AF102D">
        <w:rPr>
          <w:rFonts w:ascii="Times New Roman" w:eastAsiaTheme="minorHAnsi" w:hAnsi="Times New Roman" w:cs="Times New Roman"/>
          <w:lang w:eastAsia="en-US"/>
        </w:rPr>
        <w:t>macji uzyskanych od świadka</w:t>
      </w:r>
      <w:r w:rsidRPr="00AF102D">
        <w:rPr>
          <w:rFonts w:ascii="Times New Roman" w:eastAsiaTheme="minorHAnsi" w:hAnsi="Times New Roman" w:cs="Times New Roman"/>
          <w:lang w:eastAsia="en-US"/>
        </w:rPr>
        <w:t>, skoro był on blis</w:t>
      </w:r>
      <w:r w:rsidR="00940BFC" w:rsidRPr="00AF102D">
        <w:rPr>
          <w:rFonts w:ascii="Times New Roman" w:eastAsiaTheme="minorHAnsi" w:hAnsi="Times New Roman" w:cs="Times New Roman"/>
          <w:lang w:eastAsia="en-US"/>
        </w:rPr>
        <w:t>kim współpracownikiem oskarżonego</w:t>
      </w:r>
      <w:r w:rsidRPr="00AF102D">
        <w:rPr>
          <w:rFonts w:ascii="Times New Roman" w:eastAsiaTheme="minorHAnsi" w:hAnsi="Times New Roman" w:cs="Times New Roman"/>
          <w:lang w:eastAsia="en-US"/>
        </w:rPr>
        <w:t xml:space="preserve">, a "trudno też wskazać kroki, jakie w praktyce należałoby podjąć, aby upewnić się, czy informacja jest prawdziwa". Prokurator dostrzegł "pewne nieprawidłowości"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w postępowaniu policjantów, ale - jego zdaniem - nie mogą one wpływać na ocenę wiarygodności uzyskanego w drodze operacyjnej materiału dowodowego. Tymczasem - jak dalej wywodził skarżący - to właśnie przez pryzmat tych nieprawidłowości Sąd Okręgowy ocenił wiarygodność materiału dowodowego, a zabrakło mu "stanowczości i konsekwencji"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w wyrażeniu stanowiska co do dopuszczalności wykorzystania w procesie karnym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tak uzyskanych dowodów. </w:t>
      </w:r>
      <w:r w:rsidR="00AF102D">
        <w:rPr>
          <w:rFonts w:ascii="Times New Roman" w:eastAsiaTheme="minorHAnsi" w:hAnsi="Times New Roman" w:cs="Times New Roman"/>
          <w:lang w:eastAsia="en-US"/>
        </w:rPr>
        <w:t xml:space="preserve">Sąd Najwyższy w omawianej sprawie uznał, że </w:t>
      </w:r>
      <w:r w:rsidRPr="00AF102D">
        <w:rPr>
          <w:rFonts w:ascii="Times New Roman" w:eastAsiaTheme="minorHAnsi" w:hAnsi="Times New Roman" w:cs="Times New Roman"/>
          <w:lang w:eastAsia="en-US"/>
        </w:rPr>
        <w:t xml:space="preserve">słusznie prokurator w kasacji wskazał, iż Sądowi Okręgowemu, podobnie zresztą jak i Sądowi Rejonowemu, </w:t>
      </w:r>
      <w:r w:rsidRPr="00AF102D">
        <w:rPr>
          <w:rFonts w:ascii="Times New Roman" w:eastAsiaTheme="minorHAnsi" w:hAnsi="Times New Roman" w:cs="Times New Roman"/>
          <w:lang w:eastAsia="en-US"/>
        </w:rPr>
        <w:lastRenderedPageBreak/>
        <w:t>zabrakło "stanowczości i konsekwencji" w rozstrzygnięciach dotyczących materiału dowodowego uzyskanego w drodze - jak same te Sądy określały - bezprawnej czy nielegalnej "prowokacji policyjnej". Rzeczą bezsporną jest w tej sprawie, że jedynym materiałem dowodowym obciążającym</w:t>
      </w:r>
      <w:r w:rsidR="00940BFC" w:rsidRPr="00AF102D">
        <w:rPr>
          <w:rFonts w:ascii="Times New Roman" w:eastAsiaTheme="minorHAnsi" w:hAnsi="Times New Roman" w:cs="Times New Roman"/>
          <w:lang w:eastAsia="en-US"/>
        </w:rPr>
        <w:t xml:space="preserve"> oskarżonego</w:t>
      </w:r>
      <w:r w:rsidRPr="00AF102D">
        <w:rPr>
          <w:rFonts w:ascii="Times New Roman" w:eastAsiaTheme="minorHAnsi" w:hAnsi="Times New Roman" w:cs="Times New Roman"/>
          <w:lang w:eastAsia="en-US"/>
        </w:rPr>
        <w:t xml:space="preserve"> był ten uzyskany w trakcie przebiegu czynności operacyjnej kontrolowanego wręczenia korzyści majątkowej oraz tę czynność opisujący. Innych dowodów winy oskarżyciel nie przedstawił</w:t>
      </w:r>
      <w:r w:rsidR="00AF102D">
        <w:rPr>
          <w:rFonts w:ascii="Times New Roman" w:eastAsiaTheme="minorHAnsi" w:hAnsi="Times New Roman" w:cs="Times New Roman"/>
          <w:lang w:eastAsia="en-US"/>
        </w:rPr>
        <w:t>”</w:t>
      </w:r>
      <w:r w:rsidRPr="00AF102D">
        <w:rPr>
          <w:rFonts w:ascii="Times New Roman" w:eastAsiaTheme="minorHAnsi" w:hAnsi="Times New Roman" w:cs="Times New Roman"/>
          <w:lang w:eastAsia="en-US"/>
        </w:rPr>
        <w:t xml:space="preserve">. W tej sytuacji </w:t>
      </w:r>
      <w:r w:rsidR="00AF102D">
        <w:rPr>
          <w:rFonts w:ascii="Times New Roman" w:eastAsiaTheme="minorHAnsi" w:hAnsi="Times New Roman" w:cs="Times New Roman"/>
          <w:lang w:eastAsia="en-US"/>
        </w:rPr>
        <w:t xml:space="preserve">Sąd Najwyższy stwierdził, że </w:t>
      </w:r>
      <w:r w:rsidRPr="00AF102D">
        <w:rPr>
          <w:rFonts w:ascii="Times New Roman" w:eastAsiaTheme="minorHAnsi" w:hAnsi="Times New Roman" w:cs="Times New Roman"/>
          <w:lang w:eastAsia="en-US"/>
        </w:rPr>
        <w:t>zrozumiał</w:t>
      </w:r>
      <w:r w:rsidR="00AF102D">
        <w:rPr>
          <w:rFonts w:ascii="Times New Roman" w:eastAsiaTheme="minorHAnsi" w:hAnsi="Times New Roman" w:cs="Times New Roman"/>
          <w:lang w:eastAsia="en-US"/>
        </w:rPr>
        <w:t>ym</w:t>
      </w:r>
      <w:r w:rsidRPr="00AF102D">
        <w:rPr>
          <w:rFonts w:ascii="Times New Roman" w:eastAsiaTheme="minorHAnsi" w:hAnsi="Times New Roman" w:cs="Times New Roman"/>
          <w:lang w:eastAsia="en-US"/>
        </w:rPr>
        <w:t xml:space="preserve"> jest, że ocena tej czynności musi determinować rozstrzygnięcie o sprawstwie oskarżonego w takim sensie, iż procesowa dyskwalifikacja uzyskanego w jej toku materiału dowodowego czyni bezprzedmiotową jego ocenę pod kątem wiarygodności oraz przesądza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o niewinności </w:t>
      </w:r>
      <w:r w:rsidR="00940BFC" w:rsidRPr="00AF102D">
        <w:rPr>
          <w:rFonts w:ascii="Times New Roman" w:eastAsiaTheme="minorHAnsi" w:hAnsi="Times New Roman" w:cs="Times New Roman"/>
          <w:lang w:eastAsia="en-US"/>
        </w:rPr>
        <w:t>oskarżonego.</w:t>
      </w:r>
    </w:p>
    <w:p w:rsidR="00AE1537" w:rsidRPr="00AF102D" w:rsidRDefault="00AE1537" w:rsidP="00446205">
      <w:pPr>
        <w:pStyle w:val="Bezodstpw"/>
        <w:numPr>
          <w:ilvl w:val="0"/>
          <w:numId w:val="1"/>
        </w:numPr>
        <w:spacing w:line="360" w:lineRule="auto"/>
        <w:ind w:left="284" w:hanging="284"/>
        <w:jc w:val="both"/>
        <w:rPr>
          <w:rFonts w:ascii="Times New Roman" w:hAnsi="Times New Roman" w:cs="Times New Roman"/>
        </w:rPr>
      </w:pPr>
      <w:r w:rsidRPr="00AF102D">
        <w:rPr>
          <w:rFonts w:ascii="Times New Roman" w:hAnsi="Times New Roman" w:cs="Times New Roman"/>
        </w:rPr>
        <w:t>w uzasadnieniu uchwały</w:t>
      </w:r>
      <w:r w:rsidR="00FF2ECA" w:rsidRPr="00AF102D">
        <w:rPr>
          <w:rFonts w:ascii="Times New Roman" w:hAnsi="Times New Roman" w:cs="Times New Roman"/>
        </w:rPr>
        <w:t xml:space="preserve"> o sygnaturze</w:t>
      </w:r>
      <w:r w:rsidRPr="00AF102D">
        <w:rPr>
          <w:rFonts w:ascii="Times New Roman" w:hAnsi="Times New Roman" w:cs="Times New Roman"/>
        </w:rPr>
        <w:t xml:space="preserve"> I KZP 32/10 z 23 marca 2011 r.</w:t>
      </w:r>
      <w:r w:rsidR="008239C7">
        <w:rPr>
          <w:rFonts w:ascii="Times New Roman" w:hAnsi="Times New Roman" w:cs="Times New Roman"/>
        </w:rPr>
        <w:t xml:space="preserve">, w której Sąd Najwyższy rozpoznał przedstawione zagadnienie prawne, </w:t>
      </w:r>
      <w:r w:rsidRPr="00AF102D">
        <w:rPr>
          <w:rFonts w:ascii="Times New Roman" w:hAnsi="Times New Roman" w:cs="Times New Roman"/>
        </w:rPr>
        <w:t>stwierdził, że</w:t>
      </w:r>
      <w:r w:rsidR="00FF2ECA" w:rsidRPr="00AF102D">
        <w:rPr>
          <w:rFonts w:ascii="Times New Roman" w:hAnsi="Times New Roman" w:cs="Times New Roman"/>
        </w:rPr>
        <w:t>:</w:t>
      </w:r>
      <w:r w:rsidR="00446205" w:rsidRPr="00AF102D">
        <w:rPr>
          <w:rFonts w:ascii="Times New Roman" w:hAnsi="Times New Roman" w:cs="Times New Roman"/>
        </w:rPr>
        <w:t xml:space="preserve"> „</w:t>
      </w:r>
      <w:r w:rsidR="00446205" w:rsidRPr="00AF102D">
        <w:rPr>
          <w:rFonts w:ascii="Times New Roman" w:eastAsiaTheme="minorHAnsi" w:hAnsi="Times New Roman" w:cs="Times New Roman"/>
          <w:lang w:eastAsia="en-US"/>
        </w:rPr>
        <w:t>w</w:t>
      </w:r>
      <w:r w:rsidRPr="00AF102D">
        <w:rPr>
          <w:rFonts w:ascii="Times New Roman" w:eastAsiaTheme="minorHAnsi" w:hAnsi="Times New Roman" w:cs="Times New Roman"/>
          <w:lang w:eastAsia="en-US"/>
        </w:rPr>
        <w:t xml:space="preserve"> uzasadnieniu wystąpienia z zagadnieniem prawnym wskazuje się wprawdzie na możliwość późniejszego niedopuszczenia przez sąd dowodu utrwalonego w toku kontroli operacyjnej, gdy uzyskano go "w sposób niezgodny z postanowieniem sądu". Ogranicza się jednak tym samym kontrolę sądu i możliwości jego reakcji prawnej tylko do sytuacji, gdy w toku kontroli operacyjnej dokonano zmiany "sposobu" jej prowadzenia, w stosunku do tego, jaki wskazał sąd, a nie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do sfery określonych także przez sąd jej granic podmiotowych i przedmiotowych.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We wniosku Prokuratury Generalnej podnosi się przy tym, że art. 49 Konstytucji zezwala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na ograniczenie prawa do swobodnego komunikowania się, a ograniczenia te, podyktowane nadrzędnym interesem publicznym, przewidziano w art. 17 ustawy o CBA, przeto nie można uznać, iżby prawo to in </w:t>
      </w:r>
      <w:proofErr w:type="spellStart"/>
      <w:r w:rsidRPr="00AF102D">
        <w:rPr>
          <w:rFonts w:ascii="Times New Roman" w:eastAsiaTheme="minorHAnsi" w:hAnsi="Times New Roman" w:cs="Times New Roman"/>
          <w:lang w:eastAsia="en-US"/>
        </w:rPr>
        <w:t>abstracto</w:t>
      </w:r>
      <w:proofErr w:type="spellEnd"/>
      <w:r w:rsidRPr="00AF102D">
        <w:rPr>
          <w:rFonts w:ascii="Times New Roman" w:eastAsiaTheme="minorHAnsi" w:hAnsi="Times New Roman" w:cs="Times New Roman"/>
          <w:lang w:eastAsia="en-US"/>
        </w:rPr>
        <w:t xml:space="preserve"> miało skutkować bezkarnością w przypadku popełnienia poważnych przestępstw określonych ściśle w ustawie. Jak już wskazano wcześniej, rzeczywiście gwarantowana konstytucyjnie wolność komunikowania się może być ustawowo ograniczona, z tym wszak, że z uwagi na to, iż jest to ograniczenie wolności obywatela, regulacja ustawowa musi być precyzyjna, powinna uwzględniać zasadę proporcjonalności takich ograniczeń, płynącą z art. 31 ust. 3 Konstytucji RP, a nadto być interpretowana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z uwzględnieniem aspektu konstytucyjnego i stosowana zgodnie z tak rozumianymi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jej przepisami.</w:t>
      </w:r>
      <w:r w:rsidR="00446205" w:rsidRPr="00AF102D">
        <w:rPr>
          <w:rFonts w:ascii="Times New Roman" w:eastAsiaTheme="minorHAnsi" w:hAnsi="Times New Roman" w:cs="Times New Roman"/>
          <w:lang w:eastAsia="en-US"/>
        </w:rPr>
        <w:t xml:space="preserve"> </w:t>
      </w:r>
      <w:r w:rsidRPr="00AF102D">
        <w:rPr>
          <w:rFonts w:ascii="Times New Roman" w:eastAsiaTheme="minorHAnsi" w:hAnsi="Times New Roman" w:cs="Times New Roman"/>
          <w:lang w:eastAsia="en-US"/>
        </w:rPr>
        <w:t xml:space="preserve">Skoro zatem ustawa o CBA odnośnie do kontroli operacyjnej wymaga, już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we wniosku do sądu o jej zastosowanie, wskazania zarówno osoby, której ma ona dotyczyć, jak i czynu lub czynów, co do których kontrola ta na być zastosowana (z wykazaniem przy tym, że jest ona niezbędna, gdyż inne środki operacyjne okazują się tu nieskuteczne lub nieprzydatne), to jedynie w takim właśnie podmiotowym i przedmiotowym zakresie, określonym w postanowieniu sądu o zarządzeniu tej kontroli, a więc uwzględniającym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ten wniosek z uwagi na zaistnienie przesłanek do jej zastosowania, kontrola operacyjna staje </w:t>
      </w:r>
      <w:r w:rsidRPr="00AF102D">
        <w:rPr>
          <w:rFonts w:ascii="Times New Roman" w:eastAsiaTheme="minorHAnsi" w:hAnsi="Times New Roman" w:cs="Times New Roman"/>
          <w:lang w:eastAsia="en-US"/>
        </w:rPr>
        <w:lastRenderedPageBreak/>
        <w:t xml:space="preserve">się dopuszczalnym, legalnym wkroczeniem w sferę omawianej wolności. W innym przypadku - choćby dotyczyło to także przestępstw, co do których możliwe jest również zarządzenie kontroli operacyjnej albo takich przestępstw osób innych niż wskazane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w postanowieniu o tej kontroli - jeżeli kontrola operacyjna nie została kolejną decyzją sądu,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w tym w postaci tzw. zgody następczej, poszerzona, ustawowe ograniczenie wolności komunikowania się nie funkcjonuje, a prymat ma konstytucyjna gwarancja takiej wolności, stanowiącej element szerzej rozumianego prawa do prywatności. Dowody pozyskane zatem poza zakresem zastosowanego ograniczenia omawianej wolności uzyskano wprawdzie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w ramach zarządzonej przez sąd kontroli, ale poza jej granicami, a więc niezgodnie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z wymogami ustawy. Nie można tym samym uznać, że są to dowody uzyskane legalnie</w:t>
      </w:r>
      <w:r w:rsidR="00446205" w:rsidRPr="00AF102D">
        <w:rPr>
          <w:rFonts w:ascii="Times New Roman" w:eastAsiaTheme="minorHAnsi" w:hAnsi="Times New Roman" w:cs="Times New Roman"/>
          <w:lang w:eastAsia="en-US"/>
        </w:rPr>
        <w:t>”</w:t>
      </w:r>
      <w:r w:rsidRPr="00AF102D">
        <w:rPr>
          <w:rFonts w:ascii="Times New Roman" w:eastAsiaTheme="minorHAnsi" w:hAnsi="Times New Roman" w:cs="Times New Roman"/>
          <w:lang w:eastAsia="en-US"/>
        </w:rPr>
        <w:t>.</w:t>
      </w:r>
    </w:p>
    <w:p w:rsidR="00AA311C" w:rsidRPr="00AF102D" w:rsidRDefault="00AA311C" w:rsidP="00AE725E">
      <w:pPr>
        <w:pStyle w:val="Bezodstpw"/>
        <w:numPr>
          <w:ilvl w:val="0"/>
          <w:numId w:val="1"/>
        </w:numPr>
        <w:spacing w:line="360" w:lineRule="auto"/>
        <w:ind w:left="284" w:hanging="284"/>
        <w:jc w:val="both"/>
        <w:rPr>
          <w:rFonts w:ascii="Times New Roman" w:hAnsi="Times New Roman" w:cs="Times New Roman"/>
        </w:rPr>
      </w:pPr>
      <w:r w:rsidRPr="00AF102D">
        <w:rPr>
          <w:rFonts w:ascii="Times New Roman" w:hAnsi="Times New Roman" w:cs="Times New Roman"/>
        </w:rPr>
        <w:t>w uzasadnieniu postanowienia</w:t>
      </w:r>
      <w:r w:rsidR="00FF2ECA" w:rsidRPr="00AF102D">
        <w:rPr>
          <w:rFonts w:ascii="Times New Roman" w:hAnsi="Times New Roman" w:cs="Times New Roman"/>
        </w:rPr>
        <w:t xml:space="preserve"> o sygnaturze</w:t>
      </w:r>
      <w:r w:rsidRPr="00AF102D">
        <w:rPr>
          <w:rFonts w:ascii="Times New Roman" w:hAnsi="Times New Roman" w:cs="Times New Roman"/>
        </w:rPr>
        <w:t xml:space="preserve"> II KK 336/11 z 10 października 2012 r. Sąd Najwyższy stwierdził, że: „</w:t>
      </w:r>
      <w:r w:rsidRPr="00AF102D">
        <w:rPr>
          <w:rFonts w:ascii="Times New Roman" w:eastAsiaTheme="minorHAnsi" w:hAnsi="Times New Roman" w:cs="Times New Roman"/>
          <w:lang w:eastAsia="en-US"/>
        </w:rPr>
        <w:t xml:space="preserve">dojść należy do wniosku, że przepis art. 19 ust. 1 ustawy z dnia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6 kwietnia 1990 r. o Policji (Dz.U. z 2011 r. Nr 287, poz. 1687 ze zm.) zawiera zamknięty katalog przestępstw i dowody zebrane w drodze legalnej kontroli operacyjnej mogą być wykorzystane w postępowaniu karnym tylko w odniesieniu do tych przestępstw. Oznacza to, że niedopuszczalne jest również wykorzystanie dowodów uzyskanych w wyniku tej kontroli w odniesieniu do przestępstw jednostkowych popełnionych w ramach zorganizowanej grupy przestępczej (art. 258 k.k.), jeśli przestępstwa te nie mieszczą się w katalogu objętym wyżej wymienionym przepisem. Taki wniosek musi płynąć z interpretacji językowej przepisu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art. 19 ust. 1 ustawy o Policji, gdyż ta metoda wykładni powinna być zastosowana - jako wyłączna - wszędzie tam, gdzie jej rezultat prowadzi do wniosków dla oskarżonego korzystnych. Na tym bowiem zasadza się funkcja gwarancyjna nie tylko prawa karnego materialnego, ale każdej innej gałęzi prawa, która daje organom państwowym prawo </w:t>
      </w:r>
      <w:r w:rsidR="00BE6F4E">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do ingerencji w podstawowe prawa i wolności obywatelskie. Na słuszność tego poglądu nie może wpłynąć - co uczynił Sąd Apelacyjny - odwołanie się do argumentów celowościowych, racjonalnych i intencjonalnych. Wskazane wcześniej wymogi gwarancyjne nie pozwalają bowiem na wypełnienie domniemanych ustawowych luk</w:t>
      </w:r>
      <w:r w:rsidR="00AE725E" w:rsidRPr="00AF102D">
        <w:rPr>
          <w:rFonts w:ascii="Times New Roman" w:eastAsiaTheme="minorHAnsi" w:hAnsi="Times New Roman" w:cs="Times New Roman"/>
          <w:lang w:eastAsia="en-US"/>
        </w:rPr>
        <w:t xml:space="preserve"> w drodze własnej interpretacji”.</w:t>
      </w:r>
    </w:p>
    <w:p w:rsidR="00BF15A7" w:rsidRPr="00AF102D" w:rsidRDefault="00AE725E" w:rsidP="00BF15A7">
      <w:pPr>
        <w:pStyle w:val="Bezodstpw"/>
        <w:numPr>
          <w:ilvl w:val="0"/>
          <w:numId w:val="1"/>
        </w:numPr>
        <w:spacing w:line="360" w:lineRule="auto"/>
        <w:ind w:left="284" w:hanging="284"/>
        <w:jc w:val="both"/>
        <w:rPr>
          <w:rFonts w:ascii="Times New Roman" w:hAnsi="Times New Roman" w:cs="Times New Roman"/>
        </w:rPr>
      </w:pPr>
      <w:r w:rsidRPr="00AF102D">
        <w:rPr>
          <w:rFonts w:ascii="Times New Roman" w:hAnsi="Times New Roman" w:cs="Times New Roman"/>
        </w:rPr>
        <w:t>w uzasadnieniu postanowienia</w:t>
      </w:r>
      <w:r w:rsidR="00FF2ECA" w:rsidRPr="00AF102D">
        <w:rPr>
          <w:rFonts w:ascii="Times New Roman" w:hAnsi="Times New Roman" w:cs="Times New Roman"/>
        </w:rPr>
        <w:t xml:space="preserve"> o sygnaturze</w:t>
      </w:r>
      <w:r w:rsidRPr="00AF102D">
        <w:rPr>
          <w:rFonts w:ascii="Times New Roman" w:hAnsi="Times New Roman" w:cs="Times New Roman"/>
        </w:rPr>
        <w:t xml:space="preserve"> III KK 58/09 z 22 września 2009 r. Sąd Najwyższy stwierdził, że: „</w:t>
      </w:r>
      <w:r w:rsidR="00BF15A7" w:rsidRPr="00AF102D">
        <w:rPr>
          <w:rFonts w:ascii="Times New Roman" w:eastAsiaTheme="minorHAnsi" w:hAnsi="Times New Roman" w:cs="Times New Roman"/>
          <w:lang w:eastAsia="en-US"/>
        </w:rPr>
        <w:t xml:space="preserve">nagranie (stenogram) wypowiedzi oskarżonego w rozmowie przeprowadzonej m.in. z udziałem policjanta, uzbrojonego w sprzęt audiowizualny, nie mogło stanowić podstawy czynienia ustaleń faktycznych w sprawie, a ujawnienie jej treści przez Sąd pierwszej instancji rażąco uchybiało prawu procesowemu. Zaangażowanie funkcjonariusza Państwa w dokonanie tego nagrania przesądza, że nie może być mowy o prywatnym, powstałym poza postępowaniem karnym i nie dla jego celów, dokumencie mającym </w:t>
      </w:r>
      <w:r w:rsidR="00A869CF">
        <w:rPr>
          <w:rFonts w:ascii="Times New Roman" w:eastAsiaTheme="minorHAnsi" w:hAnsi="Times New Roman" w:cs="Times New Roman"/>
          <w:lang w:eastAsia="en-US"/>
        </w:rPr>
        <w:br/>
      </w:r>
      <w:r w:rsidR="00BF15A7" w:rsidRPr="00AF102D">
        <w:rPr>
          <w:rFonts w:ascii="Times New Roman" w:eastAsiaTheme="minorHAnsi" w:hAnsi="Times New Roman" w:cs="Times New Roman"/>
          <w:lang w:eastAsia="en-US"/>
        </w:rPr>
        <w:t>w procesie walor dowodu (art. 393 § 3 k.p.k.), lecz o przeprowadzeniu czynności operacyjno-</w:t>
      </w:r>
      <w:r w:rsidR="00BF15A7" w:rsidRPr="00AF102D">
        <w:rPr>
          <w:rFonts w:ascii="Times New Roman" w:eastAsiaTheme="minorHAnsi" w:hAnsi="Times New Roman" w:cs="Times New Roman"/>
          <w:lang w:eastAsia="en-US"/>
        </w:rPr>
        <w:lastRenderedPageBreak/>
        <w:t xml:space="preserve">rozpoznawczej, która z punktu widzenia możliwości procesowego wykorzystania </w:t>
      </w:r>
      <w:r w:rsidR="00A869CF">
        <w:rPr>
          <w:rFonts w:ascii="Times New Roman" w:eastAsiaTheme="minorHAnsi" w:hAnsi="Times New Roman" w:cs="Times New Roman"/>
          <w:lang w:eastAsia="en-US"/>
        </w:rPr>
        <w:br/>
      </w:r>
      <w:r w:rsidR="00BF15A7" w:rsidRPr="00AF102D">
        <w:rPr>
          <w:rFonts w:ascii="Times New Roman" w:eastAsiaTheme="minorHAnsi" w:hAnsi="Times New Roman" w:cs="Times New Roman"/>
          <w:lang w:eastAsia="en-US"/>
        </w:rPr>
        <w:t xml:space="preserve">jej wyników podlega zupełnie innej ocenie. O ile bowiem Policja - w celu rozpoznawania, zapobiegania i wykrywania przestępstw i wykroczeń oraz wykrycia i ustalenia sprawców - </w:t>
      </w:r>
      <w:r w:rsidR="00BE6F4E">
        <w:rPr>
          <w:rFonts w:ascii="Times New Roman" w:eastAsiaTheme="minorHAnsi" w:hAnsi="Times New Roman" w:cs="Times New Roman"/>
          <w:lang w:eastAsia="en-US"/>
        </w:rPr>
        <w:br/>
      </w:r>
      <w:r w:rsidR="00BF15A7" w:rsidRPr="00AF102D">
        <w:rPr>
          <w:rFonts w:ascii="Times New Roman" w:eastAsiaTheme="minorHAnsi" w:hAnsi="Times New Roman" w:cs="Times New Roman"/>
          <w:lang w:eastAsia="en-US"/>
        </w:rPr>
        <w:t xml:space="preserve">ma prawo podejmować czynności operacyjno-rozpoznawcze (zob. zwłaszcza art. 14 ust. 1 </w:t>
      </w:r>
      <w:r w:rsidR="00BE6F4E">
        <w:rPr>
          <w:rFonts w:ascii="Times New Roman" w:eastAsiaTheme="minorHAnsi" w:hAnsi="Times New Roman" w:cs="Times New Roman"/>
          <w:lang w:eastAsia="en-US"/>
        </w:rPr>
        <w:br/>
      </w:r>
      <w:r w:rsidR="00BF15A7" w:rsidRPr="00AF102D">
        <w:rPr>
          <w:rFonts w:ascii="Times New Roman" w:eastAsiaTheme="minorHAnsi" w:hAnsi="Times New Roman" w:cs="Times New Roman"/>
          <w:lang w:eastAsia="en-US"/>
        </w:rPr>
        <w:t xml:space="preserve">i art. 19 ust. 1 in </w:t>
      </w:r>
      <w:proofErr w:type="spellStart"/>
      <w:r w:rsidR="00BF15A7" w:rsidRPr="00AF102D">
        <w:rPr>
          <w:rFonts w:ascii="Times New Roman" w:eastAsiaTheme="minorHAnsi" w:hAnsi="Times New Roman" w:cs="Times New Roman"/>
          <w:lang w:eastAsia="en-US"/>
        </w:rPr>
        <w:t>princ</w:t>
      </w:r>
      <w:proofErr w:type="spellEnd"/>
      <w:r w:rsidR="00BF15A7" w:rsidRPr="00AF102D">
        <w:rPr>
          <w:rFonts w:ascii="Times New Roman" w:eastAsiaTheme="minorHAnsi" w:hAnsi="Times New Roman" w:cs="Times New Roman"/>
          <w:lang w:eastAsia="en-US"/>
        </w:rPr>
        <w:t xml:space="preserve">. ustawy z dnia 6 kwietnia 1990 r. o Policji, Dz.U. z 2007 r. Nr 43, poz. 277 ze zm.), o tyle niezbędnym warunkiem uznania materiałów, zdobytych w rezultacie takiej czynności, za dowód w postępowaniu karnym, podlegający ujawnieniu na podstawie art. 393 § 1 k.p.k., jest stwierdzenie, że do jego uzyskania i utrwalenia doszło w sposób odpowiadający ustawowym rygorom, właściwym dla różnych kategorii zagrożeń porządku prawnego, w związku z którymi czynności te są podejmowane”. </w:t>
      </w:r>
    </w:p>
    <w:p w:rsidR="002C3DC0" w:rsidRPr="00AF102D" w:rsidRDefault="002C3DC0" w:rsidP="002C3DC0">
      <w:pPr>
        <w:pStyle w:val="Bezodstpw"/>
        <w:numPr>
          <w:ilvl w:val="0"/>
          <w:numId w:val="1"/>
        </w:numPr>
        <w:spacing w:line="360" w:lineRule="auto"/>
        <w:ind w:left="284" w:hanging="284"/>
        <w:jc w:val="both"/>
        <w:rPr>
          <w:rFonts w:ascii="Times New Roman" w:hAnsi="Times New Roman" w:cs="Times New Roman"/>
        </w:rPr>
      </w:pPr>
      <w:r w:rsidRPr="00AF102D">
        <w:rPr>
          <w:rFonts w:ascii="Times New Roman" w:hAnsi="Times New Roman" w:cs="Times New Roman"/>
        </w:rPr>
        <w:t>w uzasadnieniu postanowienia</w:t>
      </w:r>
      <w:r w:rsidR="00FF2ECA" w:rsidRPr="00AF102D">
        <w:rPr>
          <w:rFonts w:ascii="Times New Roman" w:hAnsi="Times New Roman" w:cs="Times New Roman"/>
        </w:rPr>
        <w:t xml:space="preserve"> o sygnaturze</w:t>
      </w:r>
      <w:r w:rsidRPr="00AF102D">
        <w:rPr>
          <w:rFonts w:ascii="Times New Roman" w:hAnsi="Times New Roman" w:cs="Times New Roman"/>
        </w:rPr>
        <w:t xml:space="preserve"> II </w:t>
      </w:r>
      <w:proofErr w:type="spellStart"/>
      <w:r w:rsidRPr="00AF102D">
        <w:rPr>
          <w:rFonts w:ascii="Times New Roman" w:hAnsi="Times New Roman" w:cs="Times New Roman"/>
        </w:rPr>
        <w:t>AKa</w:t>
      </w:r>
      <w:proofErr w:type="spellEnd"/>
      <w:r w:rsidRPr="00AF102D">
        <w:rPr>
          <w:rFonts w:ascii="Times New Roman" w:hAnsi="Times New Roman" w:cs="Times New Roman"/>
        </w:rPr>
        <w:t xml:space="preserve"> 70/13 z 26 kwietnia 2013 r. Sąd Apelacyjny w Warszawie stwierdził, że: „</w:t>
      </w:r>
      <w:r w:rsidRPr="00AF102D">
        <w:rPr>
          <w:rFonts w:ascii="Times New Roman" w:eastAsiaTheme="minorHAnsi" w:hAnsi="Times New Roman" w:cs="Times New Roman"/>
          <w:lang w:eastAsia="en-US"/>
        </w:rPr>
        <w:t xml:space="preserve">następstwem bezprawności działań CBA </w:t>
      </w:r>
      <w:r w:rsidR="008239C7">
        <w:rPr>
          <w:rFonts w:ascii="Times New Roman" w:eastAsiaTheme="minorHAnsi" w:hAnsi="Times New Roman" w:cs="Times New Roman"/>
          <w:lang w:eastAsia="en-US"/>
        </w:rPr>
        <w:t xml:space="preserve">(…) </w:t>
      </w:r>
      <w:r w:rsidRPr="00AF102D">
        <w:rPr>
          <w:rFonts w:ascii="Times New Roman" w:eastAsiaTheme="minorHAnsi" w:hAnsi="Times New Roman" w:cs="Times New Roman"/>
          <w:lang w:eastAsia="en-US"/>
        </w:rPr>
        <w:t xml:space="preserve">jest niemożność wykorzystania uzyskanej w tym czasie wiedzy i zdobytej informacji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o korupcyjnych zamierzeniach oskarżonych, jako legalnej podstawy faktycznej i prawnej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do zastosowania wobec nich prowokacji, a to zarządzonego przez szefa CBA w oparciu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o przepis art. 19 ust. 1 ustawy o CBA, wręczenia korzyści majątkowej. Oczywistym jest bowiem, że w drodze nielegalnych, bo wykraczających poza uprawnienie z art. 14 ust. 1 pkt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6 ustawy czynności operacyjnych nie jest możliwe uzyskanie legalnych dowodów - podlegających następnie ocenie według kryteriów rzetelnego procesu karnego. Przesądzają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o tym wprost przepisy Konstytucji RP. Wyrażona w art. 2 - zasada demokratycznego państwa prawnego, w art. 7 - zasada działania organów władzy publicznej na podstawie i w granicach prawa, wyrażony w art. 51 ust. 4 zakaz wykorzystywania przez władze publiczne informacji zebranych w sposób sprzeczny z ustawą</w:t>
      </w:r>
      <w:r w:rsidR="008239C7">
        <w:rPr>
          <w:rFonts w:ascii="Times New Roman" w:eastAsiaTheme="minorHAnsi" w:hAnsi="Times New Roman" w:cs="Times New Roman"/>
          <w:lang w:eastAsia="en-US"/>
        </w:rPr>
        <w:t>.</w:t>
      </w:r>
      <w:r w:rsidRPr="00AF102D">
        <w:rPr>
          <w:rFonts w:ascii="Times New Roman" w:eastAsiaTheme="minorHAnsi" w:hAnsi="Times New Roman" w:cs="Times New Roman"/>
          <w:lang w:eastAsia="en-US"/>
        </w:rPr>
        <w:t xml:space="preserve"> Te konstytucyjne i konwencyjne gwarancje wprowadzają konieczność rozstrzygania każdej sprawy w oparciu o dowody prawem przewidziane, a co najmniej z nim niesprzeczne, a więc legalne. To bowiem w sferze dowodowej zakotwiczone są gwarancje praw jednostki w procesie karnym. Nie jest zatem dopuszczalna akceptacja takiego oto stanu, w którym funkcjonariusze państwa, a więc władzy publicznej, mogliby gromadzić materiał dowodowy wbrew obowiązującemu prawu,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a następnie zgodnie z prawem - na podstawie tego właśnie nielegalnie zdobytego materiału dowodowego - obywatele mieliby ponosić odpowiedzialność karną”.</w:t>
      </w:r>
    </w:p>
    <w:p w:rsidR="002C3DC0" w:rsidRPr="00AF102D" w:rsidRDefault="002C3DC0" w:rsidP="002C3DC0">
      <w:pPr>
        <w:pStyle w:val="Bezodstpw"/>
        <w:numPr>
          <w:ilvl w:val="0"/>
          <w:numId w:val="1"/>
        </w:numPr>
        <w:spacing w:line="360" w:lineRule="auto"/>
        <w:ind w:left="284" w:hanging="284"/>
        <w:jc w:val="both"/>
        <w:rPr>
          <w:rFonts w:ascii="Times New Roman" w:hAnsi="Times New Roman" w:cs="Times New Roman"/>
        </w:rPr>
      </w:pPr>
      <w:r w:rsidRPr="00AF102D">
        <w:rPr>
          <w:rFonts w:ascii="Times New Roman" w:hAnsi="Times New Roman" w:cs="Times New Roman"/>
        </w:rPr>
        <w:t>w uzasadnieniu postanowienia</w:t>
      </w:r>
      <w:r w:rsidR="00FF2ECA" w:rsidRPr="00AF102D">
        <w:rPr>
          <w:rFonts w:ascii="Times New Roman" w:hAnsi="Times New Roman" w:cs="Times New Roman"/>
        </w:rPr>
        <w:t xml:space="preserve"> o sygnaturze</w:t>
      </w:r>
      <w:r w:rsidRPr="00AF102D">
        <w:rPr>
          <w:rFonts w:ascii="Times New Roman" w:hAnsi="Times New Roman" w:cs="Times New Roman"/>
        </w:rPr>
        <w:t xml:space="preserve"> II </w:t>
      </w:r>
      <w:proofErr w:type="spellStart"/>
      <w:r w:rsidRPr="00AF102D">
        <w:rPr>
          <w:rFonts w:ascii="Times New Roman" w:hAnsi="Times New Roman" w:cs="Times New Roman"/>
        </w:rPr>
        <w:t>AKz</w:t>
      </w:r>
      <w:proofErr w:type="spellEnd"/>
      <w:r w:rsidRPr="00AF102D">
        <w:rPr>
          <w:rFonts w:ascii="Times New Roman" w:hAnsi="Times New Roman" w:cs="Times New Roman"/>
        </w:rPr>
        <w:t xml:space="preserve"> 288/07 z 18 maja 2007 r. Sąd Apelacyjny w Warszawie stwierdził, że: „</w:t>
      </w:r>
      <w:r w:rsidRPr="00AF102D">
        <w:rPr>
          <w:rFonts w:ascii="Times New Roman" w:eastAsiaTheme="minorHAnsi" w:hAnsi="Times New Roman" w:cs="Times New Roman"/>
          <w:lang w:eastAsia="en-US"/>
        </w:rPr>
        <w:t xml:space="preserve">uzyskane w trybie niejawnym przez CBA materiały nie mogą bowiem stanowić dowodu w sprawie o zabójstwo. Ustawa o CBA wprowadza prawo korzystania z dowodów uzyskanych przez Centralne Biuro Antykorupcyjne w trybie art. 17 ust. 1 ustawy w sprawach wskazanych w zamkniętym katalogu przestępstw wymienionych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lastRenderedPageBreak/>
        <w:t xml:space="preserve">w art. 17 ust. 1 pkt 1 i 2 tej ustawy. Przepisy te nie wymieniają zbrodni zabójstwa,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ani nieumyślnego spowodowania śmierci. Sprawia to, że uzyskane w tym trybie dowody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nie mogą być podstawą ustaleń, jako zgromadzone w sposób sprzeczny z prawem,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a tym samym nielegalne”.</w:t>
      </w:r>
    </w:p>
    <w:p w:rsidR="0057653A" w:rsidRPr="00AF102D" w:rsidRDefault="002C3DC0" w:rsidP="00FF2ECA">
      <w:pPr>
        <w:pStyle w:val="Bezodstpw"/>
        <w:numPr>
          <w:ilvl w:val="0"/>
          <w:numId w:val="1"/>
        </w:numPr>
        <w:spacing w:line="360" w:lineRule="auto"/>
        <w:ind w:left="284" w:hanging="284"/>
        <w:jc w:val="both"/>
        <w:rPr>
          <w:rFonts w:ascii="Times New Roman" w:hAnsi="Times New Roman" w:cs="Times New Roman"/>
        </w:rPr>
      </w:pPr>
      <w:r w:rsidRPr="00AF102D">
        <w:rPr>
          <w:rFonts w:ascii="Times New Roman" w:hAnsi="Times New Roman" w:cs="Times New Roman"/>
        </w:rPr>
        <w:t>w uzasadnieniu postanowienia</w:t>
      </w:r>
      <w:r w:rsidR="00FF2ECA" w:rsidRPr="00AF102D">
        <w:rPr>
          <w:rFonts w:ascii="Times New Roman" w:hAnsi="Times New Roman" w:cs="Times New Roman"/>
        </w:rPr>
        <w:t xml:space="preserve"> o sygnaturze</w:t>
      </w:r>
      <w:r w:rsidRPr="00AF102D">
        <w:rPr>
          <w:rFonts w:ascii="Times New Roman" w:hAnsi="Times New Roman" w:cs="Times New Roman"/>
        </w:rPr>
        <w:t xml:space="preserve"> </w:t>
      </w:r>
      <w:r w:rsidR="00FF2ECA" w:rsidRPr="00AF102D">
        <w:rPr>
          <w:rFonts w:ascii="Times New Roman" w:hAnsi="Times New Roman" w:cs="Times New Roman"/>
        </w:rPr>
        <w:t xml:space="preserve">II </w:t>
      </w:r>
      <w:proofErr w:type="spellStart"/>
      <w:r w:rsidR="00FF2ECA" w:rsidRPr="00AF102D">
        <w:rPr>
          <w:rFonts w:ascii="Times New Roman" w:hAnsi="Times New Roman" w:cs="Times New Roman"/>
        </w:rPr>
        <w:t>AKa</w:t>
      </w:r>
      <w:proofErr w:type="spellEnd"/>
      <w:r w:rsidR="00FF2ECA" w:rsidRPr="00AF102D">
        <w:rPr>
          <w:rFonts w:ascii="Times New Roman" w:hAnsi="Times New Roman" w:cs="Times New Roman"/>
        </w:rPr>
        <w:t xml:space="preserve"> 18/10</w:t>
      </w:r>
      <w:r w:rsidRPr="00AF102D">
        <w:rPr>
          <w:rFonts w:ascii="Times New Roman" w:hAnsi="Times New Roman" w:cs="Times New Roman"/>
        </w:rPr>
        <w:t xml:space="preserve"> </w:t>
      </w:r>
      <w:r w:rsidR="00FF2ECA" w:rsidRPr="00AF102D">
        <w:rPr>
          <w:rFonts w:ascii="Times New Roman" w:hAnsi="Times New Roman" w:cs="Times New Roman"/>
        </w:rPr>
        <w:t>z 18 marca 2010 r.</w:t>
      </w:r>
      <w:r w:rsidRPr="00AF102D">
        <w:rPr>
          <w:rFonts w:ascii="Times New Roman" w:hAnsi="Times New Roman" w:cs="Times New Roman"/>
        </w:rPr>
        <w:t xml:space="preserve"> Sąd Apelacyjny w</w:t>
      </w:r>
      <w:r w:rsidR="00FF2ECA" w:rsidRPr="00AF102D">
        <w:rPr>
          <w:rFonts w:ascii="Times New Roman" w:hAnsi="Times New Roman" w:cs="Times New Roman"/>
        </w:rPr>
        <w:t xml:space="preserve"> Białymstoku</w:t>
      </w:r>
      <w:r w:rsidRPr="00AF102D">
        <w:rPr>
          <w:rFonts w:ascii="Times New Roman" w:hAnsi="Times New Roman" w:cs="Times New Roman"/>
        </w:rPr>
        <w:t xml:space="preserve"> </w:t>
      </w:r>
      <w:r w:rsidR="008239C7">
        <w:rPr>
          <w:rFonts w:ascii="Times New Roman" w:hAnsi="Times New Roman" w:cs="Times New Roman"/>
        </w:rPr>
        <w:t xml:space="preserve">wyraził stanowisko, że </w:t>
      </w:r>
      <w:r w:rsidRPr="00AF102D">
        <w:rPr>
          <w:rFonts w:ascii="Times New Roman" w:eastAsiaTheme="minorHAnsi" w:hAnsi="Times New Roman" w:cs="Times New Roman"/>
          <w:lang w:eastAsia="en-US"/>
        </w:rPr>
        <w:t>posługiwanie się w procesie dowodami, które stanowią tzw. "owoc zatrutego drzewa" jest niedopuszczalne</w:t>
      </w:r>
      <w:r w:rsidR="008239C7">
        <w:rPr>
          <w:rFonts w:ascii="Times New Roman" w:eastAsiaTheme="minorHAnsi" w:hAnsi="Times New Roman" w:cs="Times New Roman"/>
          <w:lang w:eastAsia="en-US"/>
        </w:rPr>
        <w:t xml:space="preserve">, gdyż </w:t>
      </w:r>
      <w:r w:rsidRPr="00AF102D">
        <w:rPr>
          <w:rFonts w:ascii="Times New Roman" w:eastAsiaTheme="minorHAnsi" w:hAnsi="Times New Roman" w:cs="Times New Roman"/>
          <w:lang w:eastAsia="en-US"/>
        </w:rPr>
        <w:t>nie spełnia ono podstawowych wymogów konstytucyjnych, narusza prawa obywatelskie i stoi w kolizji z postanowieniami konwencji międzynarodowych, których Polska jest stroną.</w:t>
      </w:r>
    </w:p>
    <w:p w:rsidR="00FF2ECA" w:rsidRPr="00AF102D" w:rsidRDefault="00FF2ECA" w:rsidP="00FF2ECA">
      <w:pPr>
        <w:pStyle w:val="Bezodstpw"/>
        <w:spacing w:line="360" w:lineRule="auto"/>
        <w:ind w:left="284"/>
        <w:jc w:val="both"/>
        <w:rPr>
          <w:rFonts w:ascii="Times New Roman" w:hAnsi="Times New Roman" w:cs="Times New Roman"/>
        </w:rPr>
      </w:pPr>
    </w:p>
    <w:p w:rsidR="00CA37C6" w:rsidRPr="00AF102D" w:rsidRDefault="00CA37C6" w:rsidP="00CA37C6">
      <w:pPr>
        <w:pStyle w:val="Bezodstpw"/>
        <w:spacing w:line="360" w:lineRule="auto"/>
        <w:ind w:firstLine="567"/>
        <w:jc w:val="both"/>
        <w:rPr>
          <w:rFonts w:ascii="Times New Roman" w:eastAsia="Arial" w:hAnsi="Times New Roman" w:cs="Times New Roman"/>
          <w:bCs/>
          <w:color w:val="000000"/>
          <w:lang w:eastAsia="pl-PL"/>
        </w:rPr>
      </w:pPr>
      <w:r w:rsidRPr="00AF102D">
        <w:rPr>
          <w:rFonts w:ascii="Times New Roman" w:hAnsi="Times New Roman" w:cs="Times New Roman"/>
          <w:lang w:eastAsia="pl-PL"/>
        </w:rPr>
        <w:t xml:space="preserve">Należy mieć również na uwadze, że </w:t>
      </w:r>
      <w:r w:rsidR="008239C7">
        <w:rPr>
          <w:rFonts w:ascii="Times New Roman" w:hAnsi="Times New Roman" w:cs="Times New Roman"/>
          <w:lang w:eastAsia="pl-PL"/>
        </w:rPr>
        <w:t xml:space="preserve">wprowadzenie do porządku prawnego dyspozycji art.168 a w obecnie obowiązującym (od 15 kwietnia 2016r.) brzmieniu </w:t>
      </w:r>
      <w:r w:rsidRPr="00AF102D">
        <w:rPr>
          <w:rFonts w:ascii="Times New Roman" w:hAnsi="Times New Roman" w:cs="Times New Roman"/>
          <w:lang w:eastAsia="pl-PL"/>
        </w:rPr>
        <w:t>jest pierwsz</w:t>
      </w:r>
      <w:r w:rsidR="008239C7">
        <w:rPr>
          <w:rFonts w:ascii="Times New Roman" w:hAnsi="Times New Roman" w:cs="Times New Roman"/>
          <w:lang w:eastAsia="pl-PL"/>
        </w:rPr>
        <w:t>ą</w:t>
      </w:r>
      <w:r w:rsidRPr="00AF102D">
        <w:rPr>
          <w:rFonts w:ascii="Times New Roman" w:hAnsi="Times New Roman" w:cs="Times New Roman"/>
          <w:lang w:eastAsia="pl-PL"/>
        </w:rPr>
        <w:t xml:space="preserve"> prób</w:t>
      </w:r>
      <w:r w:rsidR="008239C7">
        <w:rPr>
          <w:rFonts w:ascii="Times New Roman" w:hAnsi="Times New Roman" w:cs="Times New Roman"/>
          <w:lang w:eastAsia="pl-PL"/>
        </w:rPr>
        <w:t>ą</w:t>
      </w:r>
      <w:r w:rsidRPr="00AF102D">
        <w:rPr>
          <w:rFonts w:ascii="Times New Roman" w:hAnsi="Times New Roman" w:cs="Times New Roman"/>
          <w:lang w:eastAsia="pl-PL"/>
        </w:rPr>
        <w:t xml:space="preserve"> legalizacji dowodów </w:t>
      </w:r>
      <w:r w:rsidRPr="00AF102D">
        <w:rPr>
          <w:rFonts w:ascii="Times New Roman" w:eastAsia="Arial" w:hAnsi="Times New Roman" w:cs="Times New Roman"/>
          <w:bCs/>
          <w:color w:val="000000"/>
          <w:lang w:eastAsia="pl-PL"/>
        </w:rPr>
        <w:t>uzyskanych z naruszeniem przepisów postępowania lub za pomocą czynu zabronionego, mając</w:t>
      </w:r>
      <w:r w:rsidR="008239C7">
        <w:rPr>
          <w:rFonts w:ascii="Times New Roman" w:eastAsia="Arial" w:hAnsi="Times New Roman" w:cs="Times New Roman"/>
          <w:bCs/>
          <w:color w:val="000000"/>
          <w:lang w:eastAsia="pl-PL"/>
        </w:rPr>
        <w:t>ą</w:t>
      </w:r>
      <w:r w:rsidRPr="00AF102D">
        <w:rPr>
          <w:rFonts w:ascii="Times New Roman" w:eastAsia="Arial" w:hAnsi="Times New Roman" w:cs="Times New Roman"/>
          <w:bCs/>
          <w:color w:val="000000"/>
          <w:lang w:eastAsia="pl-PL"/>
        </w:rPr>
        <w:t xml:space="preserve"> swe podstawy w akcie normatywnym o randze ustawy. Takie rozwiązanie, może nieść za sobą poważne zagrożenia, szczególnie w kontekście fundamentalnej dla ustroju Rzeczypospolitej Polskiej zasady demokratycznego państwa prawnego. Pomimo stosunkowo krótkiej tradycji uregulowanego na gruncie poprzedniego stanu prawnego zakazu przeprowadzania i wykorzystywania dowodów pozyskanych za pomocą czynu zabronionego, należy</w:t>
      </w:r>
      <w:r w:rsidR="008239C7">
        <w:rPr>
          <w:rFonts w:ascii="Times New Roman" w:eastAsia="Arial" w:hAnsi="Times New Roman" w:cs="Times New Roman"/>
          <w:bCs/>
          <w:color w:val="000000"/>
          <w:lang w:eastAsia="pl-PL"/>
        </w:rPr>
        <w:t xml:space="preserve"> </w:t>
      </w:r>
      <w:r w:rsidRPr="00AF102D">
        <w:rPr>
          <w:rFonts w:ascii="Times New Roman" w:eastAsia="Arial" w:hAnsi="Times New Roman" w:cs="Times New Roman"/>
          <w:bCs/>
          <w:color w:val="000000"/>
          <w:lang w:eastAsia="pl-PL"/>
        </w:rPr>
        <w:t>mieć</w:t>
      </w:r>
      <w:r w:rsidR="008239C7">
        <w:rPr>
          <w:rFonts w:ascii="Times New Roman" w:eastAsia="Arial" w:hAnsi="Times New Roman" w:cs="Times New Roman"/>
          <w:bCs/>
          <w:color w:val="000000"/>
          <w:lang w:eastAsia="pl-PL"/>
        </w:rPr>
        <w:t xml:space="preserve"> </w:t>
      </w:r>
      <w:r w:rsidRPr="00AF102D">
        <w:rPr>
          <w:rFonts w:ascii="Times New Roman" w:eastAsia="Arial" w:hAnsi="Times New Roman" w:cs="Times New Roman"/>
          <w:bCs/>
          <w:color w:val="000000"/>
          <w:lang w:eastAsia="pl-PL"/>
        </w:rPr>
        <w:t xml:space="preserve">na względzie, że orzecznictwo w tej kwestii było jednolite i uznawało posługiwanie </w:t>
      </w:r>
      <w:r w:rsidRPr="00AF102D">
        <w:rPr>
          <w:rFonts w:ascii="Times New Roman" w:eastAsia="Arial" w:hAnsi="Times New Roman" w:cs="Times New Roman"/>
          <w:bCs/>
          <w:color w:val="000000"/>
          <w:lang w:eastAsia="pl-PL"/>
        </w:rPr>
        <w:br/>
        <w:t xml:space="preserve">się w procesie, nie tylko karnym, dowodami stanowiącymi tzw. owoc zatrutego drzewa </w:t>
      </w:r>
      <w:r w:rsidRPr="00AF102D">
        <w:rPr>
          <w:rFonts w:ascii="Times New Roman" w:eastAsia="Arial" w:hAnsi="Times New Roman" w:cs="Times New Roman"/>
          <w:bCs/>
          <w:color w:val="000000"/>
          <w:lang w:eastAsia="pl-PL"/>
        </w:rPr>
        <w:br/>
        <w:t>za niedopuszczalne i nie spełniające podstawowych wymagań konstytucyjnych oraz naruszające prawa obywatelskie, stojące również w sprzeczności z postanowieniami konwencji międzynarodowych, których Polska jest sygnatariuszem.</w:t>
      </w:r>
    </w:p>
    <w:p w:rsidR="009060F4" w:rsidRDefault="00CA37C6" w:rsidP="00CA37C6">
      <w:pPr>
        <w:pStyle w:val="Bezodstpw"/>
        <w:spacing w:line="360" w:lineRule="auto"/>
        <w:ind w:firstLine="567"/>
        <w:jc w:val="both"/>
        <w:rPr>
          <w:rFonts w:ascii="Times New Roman" w:eastAsia="Arial" w:hAnsi="Times New Roman" w:cs="Times New Roman"/>
          <w:bCs/>
          <w:color w:val="000000"/>
          <w:lang w:eastAsia="pl-PL"/>
        </w:rPr>
      </w:pPr>
      <w:r w:rsidRPr="00AF102D">
        <w:rPr>
          <w:rFonts w:ascii="Times New Roman" w:eastAsia="Arial" w:hAnsi="Times New Roman" w:cs="Times New Roman"/>
          <w:bCs/>
          <w:color w:val="000000"/>
          <w:lang w:eastAsia="pl-PL"/>
        </w:rPr>
        <w:t xml:space="preserve">Zasada demokratycznego państwa prawnego wyrażona w art. 2 Konstytucji stanowi, </w:t>
      </w:r>
      <w:r w:rsidRPr="00AF102D">
        <w:rPr>
          <w:rFonts w:ascii="Times New Roman" w:eastAsia="Arial" w:hAnsi="Times New Roman" w:cs="Times New Roman"/>
          <w:bCs/>
          <w:color w:val="000000"/>
          <w:lang w:eastAsia="pl-PL"/>
        </w:rPr>
        <w:br/>
        <w:t xml:space="preserve">że prawo jest podstawą i granicą wszystkich działań państwa, jednocześnie wiążąc ustawodawcę normami konstytucyjnymi, a władzę wykonawczą i sądowniczą – ustawami. Bezsprzeczne jest również związanie wszystkich organów normami pozakrajowymi, do których zaliczane </w:t>
      </w:r>
      <w:r w:rsidRPr="00AF102D">
        <w:rPr>
          <w:rFonts w:ascii="Times New Roman" w:eastAsia="Arial" w:hAnsi="Times New Roman" w:cs="Times New Roman"/>
          <w:bCs/>
          <w:color w:val="000000"/>
          <w:lang w:eastAsia="pl-PL"/>
        </w:rPr>
        <w:br/>
        <w:t xml:space="preserve">są konwencje międzynarodowe. Z omawianej zasady wywieść można również instytucję ochrony sądowej polegającej na zapewnieniu pełnej i efektywnej ochrony prawnej przez system niezależnych i niezawisłych sądów opierających swą procedurę na ustawie. Nie bez związku </w:t>
      </w:r>
      <w:r w:rsidRPr="00AF102D">
        <w:rPr>
          <w:rFonts w:ascii="Times New Roman" w:eastAsia="Arial" w:hAnsi="Times New Roman" w:cs="Times New Roman"/>
          <w:bCs/>
          <w:color w:val="000000"/>
          <w:lang w:eastAsia="pl-PL"/>
        </w:rPr>
        <w:br/>
        <w:t xml:space="preserve">ze sprawą pozostaje w tym przypadku zasada zaufania obywateli do państwa, a tym samym </w:t>
      </w:r>
      <w:r w:rsidRPr="00AF102D">
        <w:rPr>
          <w:rFonts w:ascii="Times New Roman" w:eastAsia="Arial" w:hAnsi="Times New Roman" w:cs="Times New Roman"/>
          <w:bCs/>
          <w:color w:val="000000"/>
          <w:lang w:eastAsia="pl-PL"/>
        </w:rPr>
        <w:br/>
        <w:t xml:space="preserve">i prawa przez nie stanowionego oraz zasada bezpieczeństwa prawnego obywateli. </w:t>
      </w:r>
    </w:p>
    <w:p w:rsidR="009060F4" w:rsidRDefault="00CA37C6" w:rsidP="00CA37C6">
      <w:pPr>
        <w:pStyle w:val="Bezodstpw"/>
        <w:spacing w:line="360" w:lineRule="auto"/>
        <w:ind w:firstLine="567"/>
        <w:jc w:val="both"/>
        <w:rPr>
          <w:rFonts w:ascii="Times New Roman" w:hAnsi="Times New Roman" w:cs="Times New Roman"/>
          <w:lang w:eastAsia="pl-PL"/>
        </w:rPr>
      </w:pPr>
      <w:r w:rsidRPr="00AF102D">
        <w:rPr>
          <w:rFonts w:ascii="Times New Roman" w:hAnsi="Times New Roman" w:cs="Times New Roman"/>
          <w:lang w:eastAsia="pl-PL"/>
        </w:rPr>
        <w:t xml:space="preserve">Jak stwierdził Trybunał Konstytucyjny "(...) zasada zaufania do państwa i stanowionego przez nie prawa opiera się na wymaganiu pewności prawa, a więc takim zespole cech przysługujących prawu, które zapewniają jednostce bezpieczeństwo prawne; umożliwiają </w:t>
      </w:r>
      <w:r w:rsidR="00A869CF">
        <w:rPr>
          <w:rFonts w:ascii="Times New Roman" w:hAnsi="Times New Roman" w:cs="Times New Roman"/>
          <w:lang w:eastAsia="pl-PL"/>
        </w:rPr>
        <w:br/>
      </w:r>
      <w:r w:rsidR="00A869CF">
        <w:rPr>
          <w:rFonts w:ascii="Times New Roman" w:hAnsi="Times New Roman" w:cs="Times New Roman"/>
          <w:lang w:eastAsia="pl-PL"/>
        </w:rPr>
        <w:lastRenderedPageBreak/>
        <w:t xml:space="preserve">jej decydowanie </w:t>
      </w:r>
      <w:r w:rsidRPr="00AF102D">
        <w:rPr>
          <w:rFonts w:ascii="Times New Roman" w:hAnsi="Times New Roman" w:cs="Times New Roman"/>
          <w:lang w:eastAsia="pl-PL"/>
        </w:rPr>
        <w:t>o swoim postępowaniu na podstawie pełnej znajomości przesłanek działania organów państwowych oraz konsekwencji prawnych, jakie jej dzi</w:t>
      </w:r>
      <w:r w:rsidR="00A869CF">
        <w:rPr>
          <w:rFonts w:ascii="Times New Roman" w:hAnsi="Times New Roman" w:cs="Times New Roman"/>
          <w:lang w:eastAsia="pl-PL"/>
        </w:rPr>
        <w:t xml:space="preserve">ałania mogą pociągnąć </w:t>
      </w:r>
      <w:r w:rsidR="00A869CF">
        <w:rPr>
          <w:rFonts w:ascii="Times New Roman" w:hAnsi="Times New Roman" w:cs="Times New Roman"/>
          <w:lang w:eastAsia="pl-PL"/>
        </w:rPr>
        <w:br/>
        <w:t xml:space="preserve">za sobą" </w:t>
      </w:r>
      <w:r w:rsidRPr="00AF102D">
        <w:rPr>
          <w:rFonts w:ascii="Times New Roman" w:hAnsi="Times New Roman" w:cs="Times New Roman"/>
          <w:lang w:eastAsia="pl-PL"/>
        </w:rPr>
        <w:t>(wyr. TK z 14 czerwca 2000 r., P 3/00, OTK 2000, Nr 5, poz. 138). Badając skarżony przepis należy zwrócić uwagę, że ustawodawca, doprowadził do swego r</w:t>
      </w:r>
      <w:r w:rsidR="00A869CF">
        <w:rPr>
          <w:rFonts w:ascii="Times New Roman" w:hAnsi="Times New Roman" w:cs="Times New Roman"/>
          <w:lang w:eastAsia="pl-PL"/>
        </w:rPr>
        <w:t xml:space="preserve">odzaju paradoksu prawnego. </w:t>
      </w:r>
      <w:r w:rsidRPr="00AF102D">
        <w:rPr>
          <w:rFonts w:ascii="Times New Roman" w:hAnsi="Times New Roman" w:cs="Times New Roman"/>
          <w:lang w:eastAsia="pl-PL"/>
        </w:rPr>
        <w:t xml:space="preserve">Z jednej strony sąd jest związany, podług zasady zaufania obywateli do państwa </w:t>
      </w:r>
      <w:r w:rsidR="00A869CF">
        <w:rPr>
          <w:rFonts w:ascii="Times New Roman" w:hAnsi="Times New Roman" w:cs="Times New Roman"/>
          <w:lang w:eastAsia="pl-PL"/>
        </w:rPr>
        <w:br/>
      </w:r>
      <w:r w:rsidRPr="00AF102D">
        <w:rPr>
          <w:rFonts w:ascii="Times New Roman" w:hAnsi="Times New Roman" w:cs="Times New Roman"/>
          <w:lang w:eastAsia="pl-PL"/>
        </w:rPr>
        <w:t xml:space="preserve">i stanowionego przez nie prawa, do prowadzenia procesu i wydawania orzeczeń na podstawie Kodeksu postępowania karnego oraz w jego zakresie, a jednocześnie wykonując dyspozycję </w:t>
      </w:r>
      <w:r w:rsidR="00A869CF">
        <w:rPr>
          <w:rFonts w:ascii="Times New Roman" w:hAnsi="Times New Roman" w:cs="Times New Roman"/>
          <w:lang w:eastAsia="pl-PL"/>
        </w:rPr>
        <w:br/>
      </w:r>
      <w:r w:rsidRPr="00AF102D">
        <w:rPr>
          <w:rFonts w:ascii="Times New Roman" w:hAnsi="Times New Roman" w:cs="Times New Roman"/>
          <w:lang w:eastAsia="pl-PL"/>
        </w:rPr>
        <w:t xml:space="preserve">art. 168a powołanej ustawy sąd będzie zobligowany do wykorzystania dowodu uzyskanego </w:t>
      </w:r>
      <w:r w:rsidR="00A869CF">
        <w:rPr>
          <w:rFonts w:ascii="Times New Roman" w:hAnsi="Times New Roman" w:cs="Times New Roman"/>
          <w:lang w:eastAsia="pl-PL"/>
        </w:rPr>
        <w:br/>
      </w:r>
      <w:r w:rsidRPr="00AF102D">
        <w:rPr>
          <w:rFonts w:ascii="Times New Roman" w:hAnsi="Times New Roman" w:cs="Times New Roman"/>
          <w:lang w:eastAsia="pl-PL"/>
        </w:rPr>
        <w:t xml:space="preserve">z naruszeniem przepisów postępowania. Wskazać należy, że jednoczesne stosowanie norm zawartych </w:t>
      </w:r>
      <w:r w:rsidRPr="00AF102D">
        <w:rPr>
          <w:rFonts w:ascii="Times New Roman" w:hAnsi="Times New Roman" w:cs="Times New Roman"/>
          <w:lang w:eastAsia="pl-PL"/>
        </w:rPr>
        <w:br/>
        <w:t xml:space="preserve">w procedurze karnej i zastosowanie się </w:t>
      </w:r>
      <w:r w:rsidRPr="00AF102D">
        <w:rPr>
          <w:rFonts w:ascii="Times New Roman" w:hAnsi="Times New Roman" w:cs="Times New Roman"/>
          <w:i/>
          <w:lang w:eastAsia="pl-PL"/>
        </w:rPr>
        <w:t xml:space="preserve">expressis verbis </w:t>
      </w:r>
      <w:r w:rsidRPr="00AF102D">
        <w:rPr>
          <w:rFonts w:ascii="Times New Roman" w:hAnsi="Times New Roman" w:cs="Times New Roman"/>
          <w:lang w:eastAsia="pl-PL"/>
        </w:rPr>
        <w:t>do przywołanej powyżej dyspozycji już na wstępie może spowodować poważny dylemat proceduralny. Biorąc pod uwagę, że</w:t>
      </w:r>
      <w:r w:rsidRPr="00AF102D">
        <w:rPr>
          <w:rFonts w:ascii="Times New Roman" w:eastAsia="Arial" w:hAnsi="Times New Roman" w:cs="Times New Roman"/>
          <w:bCs/>
          <w:color w:val="000000"/>
          <w:lang w:eastAsia="pl-PL"/>
        </w:rPr>
        <w:t xml:space="preserve"> </w:t>
      </w:r>
      <w:r w:rsidRPr="00AF102D">
        <w:rPr>
          <w:rFonts w:ascii="Times New Roman" w:hAnsi="Times New Roman" w:cs="Times New Roman"/>
          <w:lang w:eastAsia="pl-PL"/>
        </w:rPr>
        <w:t xml:space="preserve">ochronie konstytucyjnej podlega nie tylko zaufanie obywateli do litery prawa, ale także do uzasadnionego sposobu jego interpretacji poprzez stosowanie prawa przez sądy – Rada dostrzega w tym kontekście możliwość zaistnienia sytuacji, w której zasada zaufania obywateli do państwa może ulec diametralnej marginalizacji lub całkowitemu wyłączeniu. </w:t>
      </w:r>
    </w:p>
    <w:p w:rsidR="00CA37C6" w:rsidRPr="00456A32" w:rsidRDefault="00CA37C6" w:rsidP="00411357">
      <w:pPr>
        <w:pStyle w:val="Bezodstpw"/>
        <w:spacing w:line="360" w:lineRule="auto"/>
        <w:ind w:firstLine="567"/>
        <w:jc w:val="both"/>
        <w:rPr>
          <w:rFonts w:ascii="Times New Roman" w:eastAsiaTheme="minorHAnsi" w:hAnsi="Times New Roman" w:cs="Times New Roman"/>
          <w:lang w:eastAsia="en-US"/>
        </w:rPr>
      </w:pPr>
      <w:r w:rsidRPr="00AF102D">
        <w:rPr>
          <w:rFonts w:ascii="Times New Roman" w:hAnsi="Times New Roman" w:cs="Times New Roman"/>
          <w:lang w:eastAsia="pl-PL"/>
        </w:rPr>
        <w:t xml:space="preserve">Zagrożone, w obecnym stanie prawnym, pozostaje również bezpieczeństwo prawne, ponieważ możliwe jest, że instytucje takie jak tajemnica zawodowa – w szczególności </w:t>
      </w:r>
      <w:r w:rsidR="00A869CF">
        <w:rPr>
          <w:rFonts w:ascii="Times New Roman" w:hAnsi="Times New Roman" w:cs="Times New Roman"/>
          <w:lang w:eastAsia="pl-PL"/>
        </w:rPr>
        <w:br/>
      </w:r>
      <w:r w:rsidRPr="00AF102D">
        <w:rPr>
          <w:rFonts w:ascii="Times New Roman" w:hAnsi="Times New Roman" w:cs="Times New Roman"/>
          <w:lang w:eastAsia="pl-PL"/>
        </w:rPr>
        <w:t>w odniesieniu do profesjonalnych pełnomocników występujących przed sądem, a nadto notariuszy, mediatorów, doradców podatkowych, księży, dziennikarzy i lekarzy – zostaną pozbawione ochrony prawnej. W tej sytuacji należy mieć</w:t>
      </w:r>
      <w:r w:rsidR="009060F4">
        <w:rPr>
          <w:rFonts w:ascii="Times New Roman" w:hAnsi="Times New Roman" w:cs="Times New Roman"/>
          <w:lang w:eastAsia="pl-PL"/>
        </w:rPr>
        <w:t xml:space="preserve"> </w:t>
      </w:r>
      <w:r w:rsidRPr="00AF102D">
        <w:rPr>
          <w:rFonts w:ascii="Times New Roman" w:hAnsi="Times New Roman" w:cs="Times New Roman"/>
          <w:lang w:eastAsia="pl-PL"/>
        </w:rPr>
        <w:t xml:space="preserve">na uwadze, że może to doprowadzić </w:t>
      </w:r>
      <w:r w:rsidR="00A869CF">
        <w:rPr>
          <w:rFonts w:ascii="Times New Roman" w:hAnsi="Times New Roman" w:cs="Times New Roman"/>
          <w:lang w:eastAsia="pl-PL"/>
        </w:rPr>
        <w:br/>
      </w:r>
      <w:r w:rsidRPr="00AF102D">
        <w:rPr>
          <w:rFonts w:ascii="Times New Roman" w:hAnsi="Times New Roman" w:cs="Times New Roman"/>
          <w:lang w:eastAsia="pl-PL"/>
        </w:rPr>
        <w:t xml:space="preserve">do całkowitego pozbawienia zaufania publicznego całego wymiaru sprawiedliwości. Skoro ustawodawca ograniczył możliwość zwolnienia z tajemnicy zawodowej powołanych powyżej przedstawicieli różnych profesji, w przeważającej mierze zawodów zaufania publicznego, </w:t>
      </w:r>
      <w:r w:rsidR="00A869CF">
        <w:rPr>
          <w:rFonts w:ascii="Times New Roman" w:hAnsi="Times New Roman" w:cs="Times New Roman"/>
          <w:lang w:eastAsia="pl-PL"/>
        </w:rPr>
        <w:br/>
      </w:r>
      <w:r w:rsidRPr="00AF102D">
        <w:rPr>
          <w:rFonts w:ascii="Times New Roman" w:hAnsi="Times New Roman" w:cs="Times New Roman"/>
          <w:lang w:eastAsia="pl-PL"/>
        </w:rPr>
        <w:t>do kompetencji sądu i umożliwił przeprowadzenie dowodu tylko w sytuacji</w:t>
      </w:r>
      <w:r w:rsidRPr="00AF102D">
        <w:rPr>
          <w:rFonts w:ascii="Times New Roman" w:eastAsiaTheme="minorHAnsi" w:hAnsi="Times New Roman" w:cs="Times New Roman"/>
          <w:lang w:eastAsia="en-US"/>
        </w:rPr>
        <w:t xml:space="preserve">, gdy jest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to niezbędne dla dobra wymiaru sprawiedliwości, a okoliczność nie może być ustalona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na podstawie innego dowodu (w niektórych przypadkach wprowadzając dalej idące ograniczenia, takie jak zwolnienie dziennikarza od obowiązku zachowania tajemnicy, które jednak nie może dotyczyć danych umożliwiających identyfikację autora materiału prasowego, listu do redakcji lub innego materiału o tym charakterze, jak również identyfikację osób udzielających informacji opublikowanych lub przekazanych do opublikowania, jeżeli osoby </w:t>
      </w:r>
      <w:r w:rsidRPr="00AF102D">
        <w:rPr>
          <w:rFonts w:ascii="Times New Roman" w:eastAsiaTheme="minorHAnsi" w:hAnsi="Times New Roman" w:cs="Times New Roman"/>
          <w:lang w:eastAsia="en-US"/>
        </w:rPr>
        <w:br/>
        <w:t>te zastrzegły nieujawnianie powyższych danych), to należy stwierdzić, że zaskarżony przepis umożliwia skuteczne obejście powołanych ograniczeń.</w:t>
      </w:r>
    </w:p>
    <w:p w:rsidR="00695AB6" w:rsidRDefault="00CA37C6" w:rsidP="00CA37C6">
      <w:pPr>
        <w:pStyle w:val="Bezodstpw"/>
        <w:spacing w:line="360" w:lineRule="auto"/>
        <w:ind w:firstLine="567"/>
        <w:jc w:val="both"/>
        <w:rPr>
          <w:rFonts w:ascii="Times New Roman" w:eastAsiaTheme="minorHAnsi" w:hAnsi="Times New Roman" w:cs="Times New Roman"/>
          <w:lang w:eastAsia="en-US"/>
        </w:rPr>
      </w:pPr>
      <w:r w:rsidRPr="00AF102D">
        <w:rPr>
          <w:rFonts w:ascii="A" w:eastAsiaTheme="minorHAnsi" w:hAnsi="A" w:cs="A"/>
          <w:sz w:val="20"/>
          <w:szCs w:val="20"/>
          <w:lang w:eastAsia="en-US"/>
        </w:rPr>
        <w:tab/>
      </w:r>
      <w:r w:rsidRPr="00AF102D">
        <w:rPr>
          <w:rFonts w:ascii="Times New Roman" w:eastAsiaTheme="minorHAnsi" w:hAnsi="Times New Roman" w:cs="Times New Roman"/>
          <w:lang w:eastAsia="en-US"/>
        </w:rPr>
        <w:t xml:space="preserve">Przechodząc do art. 7 Konstytucji należy wskazać, że zgodnie z powszechnym rozumieniem zasady legalizmu kompetencja każdego organu władzy publicznej powinna opierać </w:t>
      </w:r>
      <w:r w:rsidRPr="00AF102D">
        <w:rPr>
          <w:rFonts w:ascii="Times New Roman" w:eastAsiaTheme="minorHAnsi" w:hAnsi="Times New Roman" w:cs="Times New Roman"/>
          <w:lang w:eastAsia="en-US"/>
        </w:rPr>
        <w:lastRenderedPageBreak/>
        <w:t>się na wyraźnie sformułowanym przepisie prawnym. W tym przypadku gwarancja materialna spójności całego porządku prawnego jest zagrożona. Niekonstytucyjność zastosowanych rozwiązań, zdaniem Rady przejawia się w szczególności zatarciem granic</w:t>
      </w:r>
      <w:r w:rsidR="00411357">
        <w:rPr>
          <w:rFonts w:ascii="Times New Roman" w:eastAsiaTheme="minorHAnsi" w:hAnsi="Times New Roman" w:cs="Times New Roman"/>
          <w:lang w:eastAsia="en-US"/>
        </w:rPr>
        <w:t xml:space="preserve"> podstaw prawnych </w:t>
      </w:r>
      <w:r w:rsidR="00A869CF">
        <w:rPr>
          <w:rFonts w:ascii="Times New Roman" w:eastAsiaTheme="minorHAnsi" w:hAnsi="Times New Roman" w:cs="Times New Roman"/>
          <w:lang w:eastAsia="en-US"/>
        </w:rPr>
        <w:br/>
      </w:r>
      <w:r w:rsidR="00411357">
        <w:rPr>
          <w:rFonts w:ascii="Times New Roman" w:eastAsiaTheme="minorHAnsi" w:hAnsi="Times New Roman" w:cs="Times New Roman"/>
          <w:lang w:eastAsia="en-US"/>
        </w:rPr>
        <w:t xml:space="preserve">w oparciu, </w:t>
      </w:r>
      <w:r w:rsidRPr="00AF102D">
        <w:rPr>
          <w:rFonts w:ascii="Times New Roman" w:eastAsiaTheme="minorHAnsi" w:hAnsi="Times New Roman" w:cs="Times New Roman"/>
          <w:lang w:eastAsia="en-US"/>
        </w:rPr>
        <w:t>o które zobowiązane są dz</w:t>
      </w:r>
      <w:r w:rsidR="00411357">
        <w:rPr>
          <w:rFonts w:ascii="Times New Roman" w:eastAsiaTheme="minorHAnsi" w:hAnsi="Times New Roman" w:cs="Times New Roman"/>
          <w:lang w:eastAsia="en-US"/>
        </w:rPr>
        <w:t>iałać organy władzy publicznej.</w:t>
      </w:r>
    </w:p>
    <w:p w:rsidR="00CA37C6" w:rsidRPr="00AF102D" w:rsidRDefault="00411357" w:rsidP="00CA37C6">
      <w:pPr>
        <w:pStyle w:val="Bezodstpw"/>
        <w:spacing w:line="360" w:lineRule="auto"/>
        <w:ind w:firstLine="567"/>
        <w:jc w:val="both"/>
        <w:rPr>
          <w:rFonts w:ascii="Times New Roman" w:eastAsiaTheme="minorHAnsi" w:hAnsi="Times New Roman" w:cs="Times New Roman"/>
          <w:lang w:eastAsia="en-US"/>
        </w:rPr>
      </w:pPr>
      <w:r>
        <w:rPr>
          <w:rFonts w:ascii="Times New Roman" w:eastAsiaTheme="minorHAnsi" w:hAnsi="Times New Roman" w:cs="Times New Roman"/>
          <w:lang w:eastAsia="en-US"/>
        </w:rPr>
        <w:t>Z</w:t>
      </w:r>
      <w:r w:rsidR="00CA37C6" w:rsidRPr="00AF102D">
        <w:rPr>
          <w:rFonts w:ascii="Times New Roman" w:eastAsiaTheme="minorHAnsi" w:hAnsi="Times New Roman" w:cs="Times New Roman"/>
          <w:lang w:eastAsia="en-US"/>
        </w:rPr>
        <w:t>atarcie granic, zdaniem Rady, spowodowane</w:t>
      </w:r>
      <w:r>
        <w:rPr>
          <w:rFonts w:ascii="Times New Roman" w:eastAsiaTheme="minorHAnsi" w:hAnsi="Times New Roman" w:cs="Times New Roman"/>
          <w:lang w:eastAsia="en-US"/>
        </w:rPr>
        <w:t xml:space="preserve"> jest wynikającą</w:t>
      </w:r>
      <w:r w:rsidR="00CA37C6" w:rsidRPr="00AF102D">
        <w:rPr>
          <w:rFonts w:ascii="Times New Roman" w:eastAsiaTheme="minorHAnsi" w:hAnsi="Times New Roman" w:cs="Times New Roman"/>
          <w:lang w:eastAsia="en-US"/>
        </w:rPr>
        <w:t xml:space="preserve"> z zaskarżonego przepisu</w:t>
      </w:r>
      <w:r>
        <w:rPr>
          <w:rFonts w:ascii="Times New Roman" w:eastAsiaTheme="minorHAnsi" w:hAnsi="Times New Roman" w:cs="Times New Roman"/>
          <w:lang w:eastAsia="en-US"/>
        </w:rPr>
        <w:t xml:space="preserve"> akceptowaną prawnie możliwością</w:t>
      </w:r>
      <w:r w:rsidR="00CA37C6" w:rsidRPr="00AF102D">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niezastosowania</w:t>
      </w:r>
      <w:r w:rsidR="00CA37C6" w:rsidRPr="00AF102D">
        <w:rPr>
          <w:rFonts w:ascii="Times New Roman" w:eastAsiaTheme="minorHAnsi" w:hAnsi="Times New Roman" w:cs="Times New Roman"/>
          <w:lang w:eastAsia="en-US"/>
        </w:rPr>
        <w:t xml:space="preserve"> się do</w:t>
      </w:r>
      <w:r>
        <w:rPr>
          <w:rFonts w:ascii="Times New Roman" w:eastAsiaTheme="minorHAnsi" w:hAnsi="Times New Roman" w:cs="Times New Roman"/>
          <w:lang w:eastAsia="en-US"/>
        </w:rPr>
        <w:t xml:space="preserve"> obowiązujących</w:t>
      </w:r>
      <w:r w:rsidR="00CA37C6" w:rsidRPr="00AF102D">
        <w:rPr>
          <w:rFonts w:ascii="Times New Roman" w:eastAsiaTheme="minorHAnsi" w:hAnsi="Times New Roman" w:cs="Times New Roman"/>
          <w:lang w:eastAsia="en-US"/>
        </w:rPr>
        <w:t xml:space="preserve"> przepisów prawa. Takie rozmycie fundamentalnej zasady legalizmu jest niebezpieczne dla prawidłowości obrotu prawnego w Rzeczypospolitej Polskiej oraz może prowadzić do nadużyć powodowanych nadmier</w:t>
      </w:r>
      <w:r>
        <w:rPr>
          <w:rFonts w:ascii="Times New Roman" w:eastAsiaTheme="minorHAnsi" w:hAnsi="Times New Roman" w:cs="Times New Roman"/>
          <w:lang w:eastAsia="en-US"/>
        </w:rPr>
        <w:t>ną swobodą i możliwością przekracza</w:t>
      </w:r>
      <w:r w:rsidR="00CA37C6" w:rsidRPr="00AF102D">
        <w:rPr>
          <w:rFonts w:ascii="Times New Roman" w:eastAsiaTheme="minorHAnsi" w:hAnsi="Times New Roman" w:cs="Times New Roman"/>
          <w:lang w:eastAsia="en-US"/>
        </w:rPr>
        <w:t>nia granic określonych w ustawie zasadniczej.</w:t>
      </w:r>
    </w:p>
    <w:p w:rsidR="00CA37C6" w:rsidRPr="00AF102D" w:rsidRDefault="00CA37C6" w:rsidP="00CA37C6">
      <w:pPr>
        <w:pStyle w:val="Bezodstpw"/>
        <w:spacing w:line="360" w:lineRule="auto"/>
        <w:ind w:firstLine="567"/>
        <w:jc w:val="both"/>
        <w:rPr>
          <w:rFonts w:ascii="Times New Roman" w:eastAsiaTheme="minorHAnsi" w:hAnsi="Times New Roman" w:cs="Times New Roman"/>
          <w:lang w:eastAsia="en-US"/>
        </w:rPr>
      </w:pPr>
      <w:r w:rsidRPr="00AF102D">
        <w:rPr>
          <w:rFonts w:ascii="Times New Roman" w:eastAsiaTheme="minorHAnsi" w:hAnsi="Times New Roman" w:cs="Times New Roman"/>
          <w:lang w:eastAsia="en-US"/>
        </w:rPr>
        <w:tab/>
        <w:t xml:space="preserve">Zgodnie z art. 31 ust. 3 ograniczenia w zakresie korzystania z konstytucyjnych wolności </w:t>
      </w:r>
      <w:r w:rsidRPr="00AF102D">
        <w:rPr>
          <w:rFonts w:ascii="Times New Roman" w:eastAsiaTheme="minorHAnsi" w:hAnsi="Times New Roman" w:cs="Times New Roman"/>
          <w:lang w:eastAsia="en-US"/>
        </w:rPr>
        <w:br/>
        <w:t xml:space="preserve">i praw mogą być ustanawiane tylko w ustawie i tylko wtedy, gdy są konieczne </w:t>
      </w:r>
      <w:r w:rsidRPr="00AF102D">
        <w:rPr>
          <w:rFonts w:ascii="Times New Roman" w:eastAsiaTheme="minorHAnsi" w:hAnsi="Times New Roman" w:cs="Times New Roman"/>
          <w:lang w:eastAsia="en-US"/>
        </w:rPr>
        <w:br/>
        <w:t xml:space="preserve">w demokratycznym państwie dla jego bezpieczeństwa lub porządku publicznego, bądź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dla ochrony środowiska, zdrowia i moralności publicznej, albo wolności i praw innych osób. Ograniczenia te nie mogą naruszać istoty wolności i praw. Dowodząc naruszenia Konstytucji, Rada wskazała powyżej, że zaskarżony przepis w istocie ogranicza prawa wynikające </w:t>
      </w:r>
      <w:r w:rsidRPr="00AF102D">
        <w:rPr>
          <w:rFonts w:ascii="Times New Roman" w:eastAsiaTheme="minorHAnsi" w:hAnsi="Times New Roman" w:cs="Times New Roman"/>
          <w:lang w:eastAsia="en-US"/>
        </w:rPr>
        <w:br/>
        <w:t xml:space="preserve">z przepisów procedury karnej i innych ustaw. Należy zatem odnieść to ograniczenie </w:t>
      </w:r>
      <w:r w:rsidRPr="00AF102D">
        <w:rPr>
          <w:rFonts w:ascii="Times New Roman" w:eastAsiaTheme="minorHAnsi" w:hAnsi="Times New Roman" w:cs="Times New Roman"/>
          <w:lang w:eastAsia="en-US"/>
        </w:rPr>
        <w:br/>
        <w:t>do dyspozycji wskazanego powyżej art. 31 ust. 3 Konstytucji. Zdaniem Rady skarżony przepis jak również jego funkcja celowościowa nie znajduje</w:t>
      </w:r>
      <w:r w:rsidR="00411357">
        <w:rPr>
          <w:rFonts w:ascii="Times New Roman" w:eastAsiaTheme="minorHAnsi" w:hAnsi="Times New Roman" w:cs="Times New Roman"/>
          <w:lang w:eastAsia="en-US"/>
        </w:rPr>
        <w:t xml:space="preserve"> uzasadnienia</w:t>
      </w:r>
      <w:r w:rsidRPr="00AF102D">
        <w:rPr>
          <w:rFonts w:ascii="Times New Roman" w:eastAsiaTheme="minorHAnsi" w:hAnsi="Times New Roman" w:cs="Times New Roman"/>
          <w:lang w:eastAsia="en-US"/>
        </w:rPr>
        <w:t xml:space="preserve"> w przesłankach materialnoprawnych dopuszczających ograniczenie praw i wolności, jednocześnie naruszając istotę wolności i praw, znosząc (w sposób dorozumiany) niektóre przepisy procesu karnego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jak również innych ustaw, co zostało wskazane we wcześniejszej części uzasadnienia wniosku. Rada pragnie zauważyć, że ustawodawca mając kompetencję do ustalenia granic podstawowych praw i wolności, powinien to czynić w sposób precyzyjny i wyczerpujący, a w zaistniałej sytuacji prawnej ustawodawca s</w:t>
      </w:r>
      <w:r w:rsidR="00411357">
        <w:rPr>
          <w:rFonts w:ascii="Times New Roman" w:eastAsiaTheme="minorHAnsi" w:hAnsi="Times New Roman" w:cs="Times New Roman"/>
          <w:lang w:eastAsia="en-US"/>
        </w:rPr>
        <w:t>powodował zatarcie tych granic.</w:t>
      </w:r>
    </w:p>
    <w:p w:rsidR="00695AB6" w:rsidRDefault="00BE6F4E" w:rsidP="00CA37C6">
      <w:pPr>
        <w:pStyle w:val="Bezodstpw"/>
        <w:spacing w:line="360" w:lineRule="auto"/>
        <w:ind w:firstLine="567"/>
        <w:jc w:val="both"/>
        <w:rPr>
          <w:rFonts w:ascii="Times New Roman" w:eastAsiaTheme="minorHAnsi" w:hAnsi="Times New Roman" w:cs="Times New Roman"/>
          <w:lang w:eastAsia="en-US"/>
        </w:rPr>
      </w:pPr>
      <w:r>
        <w:rPr>
          <w:rFonts w:ascii="Times New Roman" w:eastAsiaTheme="minorHAnsi" w:hAnsi="Times New Roman" w:cs="Times New Roman"/>
          <w:lang w:eastAsia="en-US"/>
        </w:rPr>
        <w:tab/>
        <w:t>Istotą</w:t>
      </w:r>
      <w:r w:rsidR="00CA37C6" w:rsidRPr="00AF102D">
        <w:rPr>
          <w:rFonts w:ascii="Times New Roman" w:eastAsiaTheme="minorHAnsi" w:hAnsi="Times New Roman" w:cs="Times New Roman"/>
          <w:lang w:eastAsia="en-US"/>
        </w:rPr>
        <w:t xml:space="preserve"> zasady równości sformułowanej w ar</w:t>
      </w:r>
      <w:r>
        <w:rPr>
          <w:rFonts w:ascii="Times New Roman" w:eastAsiaTheme="minorHAnsi" w:hAnsi="Times New Roman" w:cs="Times New Roman"/>
          <w:lang w:eastAsia="en-US"/>
        </w:rPr>
        <w:t>t. 32 ust. 1 Konstytucji jest to</w:t>
      </w:r>
      <w:r w:rsidR="00CA37C6" w:rsidRPr="00AF102D">
        <w:rPr>
          <w:rFonts w:ascii="Times New Roman" w:eastAsiaTheme="minorHAnsi" w:hAnsi="Times New Roman" w:cs="Times New Roman"/>
          <w:lang w:eastAsia="en-US"/>
        </w:rPr>
        <w:t xml:space="preserve">, że „wszystkie podmioty prawa charakteryzujące się daną cechą istotną (relewantną) w równym stopniu, mają być traktowane równo. A więc według równej miary, bez zróżnicowań dyskryminujących, </w:t>
      </w:r>
      <w:r w:rsidR="00A869CF">
        <w:rPr>
          <w:rFonts w:ascii="Times New Roman" w:eastAsiaTheme="minorHAnsi" w:hAnsi="Times New Roman" w:cs="Times New Roman"/>
          <w:lang w:eastAsia="en-US"/>
        </w:rPr>
        <w:br/>
        <w:t xml:space="preserve">jak </w:t>
      </w:r>
      <w:r w:rsidR="00CA37C6" w:rsidRPr="00AF102D">
        <w:rPr>
          <w:rFonts w:ascii="Times New Roman" w:eastAsiaTheme="minorHAnsi" w:hAnsi="Times New Roman" w:cs="Times New Roman"/>
          <w:lang w:eastAsia="en-US"/>
        </w:rPr>
        <w:t xml:space="preserve">i faworyzujących” </w:t>
      </w:r>
      <w:r w:rsidR="00CA37C6" w:rsidRPr="00AF102D">
        <w:rPr>
          <w:rFonts w:ascii="Times New Roman" w:hAnsi="Times New Roman" w:cs="Times New Roman"/>
          <w:lang w:eastAsia="pl-PL"/>
        </w:rPr>
        <w:t>(orz. TK z 9 marca 1988 r., U 7/87, OTK 1988, Nr 1, poz. 1, s. 14). Biorąc pod uwagę powyższe Rada uważa, że zaskarżony przepis w istotny sposób wprowadza dysproporcje w zakresie równości poszcz</w:t>
      </w:r>
      <w:r w:rsidR="00744627">
        <w:rPr>
          <w:rFonts w:ascii="Times New Roman" w:hAnsi="Times New Roman" w:cs="Times New Roman"/>
          <w:lang w:eastAsia="pl-PL"/>
        </w:rPr>
        <w:t>ególnych podmiotów wobec prawa.</w:t>
      </w:r>
    </w:p>
    <w:p w:rsidR="00CA37C6" w:rsidRPr="00AF102D" w:rsidRDefault="00CA37C6" w:rsidP="00CA37C6">
      <w:pPr>
        <w:pStyle w:val="Bezodstpw"/>
        <w:spacing w:line="360" w:lineRule="auto"/>
        <w:ind w:firstLine="567"/>
        <w:jc w:val="both"/>
        <w:rPr>
          <w:rFonts w:ascii="Times New Roman" w:eastAsiaTheme="minorHAnsi" w:hAnsi="Times New Roman" w:cs="Times New Roman"/>
          <w:lang w:eastAsia="en-US"/>
        </w:rPr>
      </w:pPr>
      <w:r w:rsidRPr="00AF102D">
        <w:rPr>
          <w:rFonts w:ascii="Times New Roman" w:eastAsiaTheme="minorHAnsi" w:hAnsi="Times New Roman" w:cs="Times New Roman"/>
          <w:lang w:eastAsia="en-US"/>
        </w:rPr>
        <w:t xml:space="preserve">Opierając się na dotychczasowym orzecznictwie Trybunału Konstytucyjnego można zauważyć, że równość w traktowaniu nie jest </w:t>
      </w:r>
      <w:r w:rsidRPr="00AF102D">
        <w:rPr>
          <w:rFonts w:ascii="Times New Roman" w:eastAsiaTheme="minorHAnsi" w:hAnsi="Times New Roman" w:cs="Times New Roman"/>
          <w:i/>
          <w:lang w:eastAsia="en-US"/>
        </w:rPr>
        <w:t>stricte</w:t>
      </w:r>
      <w:r w:rsidRPr="00AF102D">
        <w:rPr>
          <w:rFonts w:ascii="Times New Roman" w:eastAsiaTheme="minorHAnsi" w:hAnsi="Times New Roman" w:cs="Times New Roman"/>
          <w:lang w:eastAsia="en-US"/>
        </w:rPr>
        <w:t xml:space="preserve"> utożsamiana z zakazem różnicowania, jednakże preferowanie pewnych grup powinno dążyć do faktycznej równości, nie natomiast,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jak ma to miejsce w tym przypadku, do faworyzowania podmiotów odpowiedzialnych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za </w:t>
      </w:r>
      <w:r w:rsidR="00744627">
        <w:rPr>
          <w:rFonts w:ascii="Times New Roman" w:eastAsiaTheme="minorHAnsi" w:hAnsi="Times New Roman" w:cs="Times New Roman"/>
          <w:lang w:eastAsia="en-US"/>
        </w:rPr>
        <w:t>nieprzestrzeganie</w:t>
      </w:r>
      <w:r w:rsidRPr="00AF102D">
        <w:rPr>
          <w:rFonts w:ascii="Times New Roman" w:eastAsiaTheme="minorHAnsi" w:hAnsi="Times New Roman" w:cs="Times New Roman"/>
          <w:lang w:eastAsia="en-US"/>
        </w:rPr>
        <w:t xml:space="preserve"> przepisów procedury karnej. Zdaniem Rady uprzywilejowanie określonych </w:t>
      </w:r>
      <w:r w:rsidRPr="00AF102D">
        <w:rPr>
          <w:rFonts w:ascii="Times New Roman" w:eastAsiaTheme="minorHAnsi" w:hAnsi="Times New Roman" w:cs="Times New Roman"/>
          <w:lang w:eastAsia="en-US"/>
        </w:rPr>
        <w:lastRenderedPageBreak/>
        <w:t xml:space="preserve">powyżej podmiotów wynikające z zaskarżonego przepisu jest niedopuszczalne i godzi wprost </w:t>
      </w:r>
      <w:r w:rsidRPr="00AF102D">
        <w:rPr>
          <w:rFonts w:ascii="Times New Roman" w:eastAsiaTheme="minorHAnsi" w:hAnsi="Times New Roman" w:cs="Times New Roman"/>
          <w:lang w:eastAsia="en-US"/>
        </w:rPr>
        <w:br/>
        <w:t xml:space="preserve">w konstytucyjne pojęcie równości. </w:t>
      </w:r>
    </w:p>
    <w:p w:rsidR="009A7E46" w:rsidRDefault="00CA37C6" w:rsidP="00CA37C6">
      <w:pPr>
        <w:pStyle w:val="Bezodstpw"/>
        <w:spacing w:line="360" w:lineRule="auto"/>
        <w:ind w:firstLine="567"/>
        <w:jc w:val="both"/>
        <w:rPr>
          <w:rFonts w:ascii="Times New Roman" w:eastAsiaTheme="minorHAnsi" w:hAnsi="Times New Roman" w:cs="Times New Roman"/>
          <w:lang w:eastAsia="en-US"/>
        </w:rPr>
      </w:pPr>
      <w:r w:rsidRPr="00AF102D">
        <w:rPr>
          <w:rFonts w:ascii="Times New Roman" w:eastAsiaTheme="minorHAnsi" w:hAnsi="Times New Roman" w:cs="Times New Roman"/>
          <w:lang w:eastAsia="en-US"/>
        </w:rPr>
        <w:tab/>
        <w:t xml:space="preserve">Według koncepcji wypracowanej przez Trybunał Konstytucyjny, znajdującej potwierdzenie w orzeczeniach dotyczących prawa do sądu – prawo to składa się w szczególności z prawa dostępu do sądu, prawa do odpowiedniego kształtowania procedury (zgodnie </w:t>
      </w:r>
      <w:r w:rsidRPr="00AF102D">
        <w:rPr>
          <w:rFonts w:ascii="Times New Roman" w:eastAsiaTheme="minorHAnsi" w:hAnsi="Times New Roman" w:cs="Times New Roman"/>
          <w:lang w:eastAsia="en-US"/>
        </w:rPr>
        <w:br/>
        <w:t xml:space="preserve">z wymogami sprawiedliwości i jawności) oraz prawa do wyroku sądowego (por. wyr. z 12 marca 2002 r., P 9/01, OTK-A 2002, Nr 2, poz. 14). W przedmiotowej sprawie Rada postanowiła zaskarżyć, z uwagi na wprowadzenie do </w:t>
      </w:r>
      <w:r w:rsidR="009A7E46">
        <w:rPr>
          <w:rFonts w:ascii="Times New Roman" w:eastAsiaTheme="minorHAnsi" w:hAnsi="Times New Roman" w:cs="Times New Roman"/>
          <w:lang w:eastAsia="en-US"/>
        </w:rPr>
        <w:t>porządku</w:t>
      </w:r>
      <w:r w:rsidRPr="00AF102D">
        <w:rPr>
          <w:rFonts w:ascii="Times New Roman" w:eastAsiaTheme="minorHAnsi" w:hAnsi="Times New Roman" w:cs="Times New Roman"/>
          <w:lang w:eastAsia="en-US"/>
        </w:rPr>
        <w:t xml:space="preserve"> prawnego skarżonego przepisu, </w:t>
      </w:r>
      <w:r w:rsidRPr="00AF102D">
        <w:rPr>
          <w:rFonts w:ascii="Times New Roman" w:eastAsiaTheme="minorHAnsi" w:hAnsi="Times New Roman" w:cs="Times New Roman"/>
          <w:lang w:eastAsia="en-US"/>
        </w:rPr>
        <w:br/>
        <w:t xml:space="preserve">nie zastosowanie się ustawodawcy do obowiązku odpowiedniego kształtowania procedury. Stwierdzić należy, że podstawą do wyprowadzenia tego zarzutu jest pominięcie wymogu sprawiedliwości w kreowaniu sytuacji prawnej podmiotów uczestniczących w procesie karnym. Istotna jest w tej sytuacji argumentacja (powołana we wcześniejszej części uzasadnienia wniosku) dotycząca braku spójności pomiędzy skarżonym przepisem, a pozostałymi przepisami procedury karnej, z uwagi na możliwość dowodzenia nawet w przypadku pierwotnego </w:t>
      </w:r>
      <w:r w:rsidR="00A869CF">
        <w:rPr>
          <w:rFonts w:ascii="Times New Roman" w:eastAsiaTheme="minorHAnsi" w:hAnsi="Times New Roman" w:cs="Times New Roman"/>
          <w:lang w:eastAsia="en-US"/>
        </w:rPr>
        <w:br/>
      </w:r>
      <w:r w:rsidRPr="00AF102D">
        <w:rPr>
          <w:rFonts w:ascii="Times New Roman" w:eastAsiaTheme="minorHAnsi" w:hAnsi="Times New Roman" w:cs="Times New Roman"/>
          <w:lang w:eastAsia="en-US"/>
        </w:rPr>
        <w:t xml:space="preserve">ich nierespektowania. </w:t>
      </w:r>
    </w:p>
    <w:p w:rsidR="00CA37C6" w:rsidRPr="00AF102D" w:rsidRDefault="00CA37C6" w:rsidP="00CA37C6">
      <w:pPr>
        <w:pStyle w:val="Bezodstpw"/>
        <w:spacing w:line="360" w:lineRule="auto"/>
        <w:ind w:firstLine="567"/>
        <w:jc w:val="both"/>
        <w:rPr>
          <w:rFonts w:ascii="Times New Roman" w:eastAsiaTheme="minorHAnsi" w:hAnsi="Times New Roman" w:cs="Times New Roman"/>
          <w:lang w:eastAsia="en-US"/>
        </w:rPr>
      </w:pPr>
      <w:r w:rsidRPr="00AF102D">
        <w:rPr>
          <w:rFonts w:ascii="Times New Roman" w:eastAsiaTheme="minorHAnsi" w:hAnsi="Times New Roman" w:cs="Times New Roman"/>
          <w:lang w:eastAsia="en-US"/>
        </w:rPr>
        <w:t xml:space="preserve">Niezapewnienie przez ustawodawcę właściwego </w:t>
      </w:r>
      <w:r w:rsidR="009A7E46">
        <w:rPr>
          <w:rFonts w:ascii="Times New Roman" w:eastAsiaTheme="minorHAnsi" w:hAnsi="Times New Roman" w:cs="Times New Roman"/>
          <w:lang w:eastAsia="en-US"/>
        </w:rPr>
        <w:t>modelu</w:t>
      </w:r>
      <w:r w:rsidRPr="00AF102D">
        <w:rPr>
          <w:rFonts w:ascii="Times New Roman" w:eastAsiaTheme="minorHAnsi" w:hAnsi="Times New Roman" w:cs="Times New Roman"/>
          <w:lang w:eastAsia="en-US"/>
        </w:rPr>
        <w:t xml:space="preserve"> procedury, która jest fundamentem prawidłowego funkcjonowania sądów karnych w Polsce jest</w:t>
      </w:r>
      <w:r w:rsidR="009A7E46">
        <w:rPr>
          <w:rFonts w:ascii="Times New Roman" w:eastAsiaTheme="minorHAnsi" w:hAnsi="Times New Roman" w:cs="Times New Roman"/>
          <w:lang w:eastAsia="en-US"/>
        </w:rPr>
        <w:t>,</w:t>
      </w:r>
      <w:r w:rsidRPr="00AF102D">
        <w:rPr>
          <w:rFonts w:ascii="Times New Roman" w:eastAsiaTheme="minorHAnsi" w:hAnsi="Times New Roman" w:cs="Times New Roman"/>
          <w:lang w:eastAsia="en-US"/>
        </w:rPr>
        <w:t xml:space="preserve"> </w:t>
      </w:r>
      <w:r w:rsidR="009A7E46">
        <w:rPr>
          <w:rFonts w:ascii="Times New Roman" w:eastAsiaTheme="minorHAnsi" w:hAnsi="Times New Roman" w:cs="Times New Roman"/>
          <w:lang w:eastAsia="en-US"/>
        </w:rPr>
        <w:t xml:space="preserve">zdaniem </w:t>
      </w:r>
      <w:r w:rsidRPr="00AF102D">
        <w:rPr>
          <w:rFonts w:ascii="Times New Roman" w:eastAsiaTheme="minorHAnsi" w:hAnsi="Times New Roman" w:cs="Times New Roman"/>
          <w:lang w:eastAsia="en-US"/>
        </w:rPr>
        <w:t>Rady</w:t>
      </w:r>
      <w:r w:rsidR="009A7E46">
        <w:rPr>
          <w:rFonts w:ascii="Times New Roman" w:eastAsiaTheme="minorHAnsi" w:hAnsi="Times New Roman" w:cs="Times New Roman"/>
          <w:lang w:eastAsia="en-US"/>
        </w:rPr>
        <w:t>,</w:t>
      </w:r>
      <w:r w:rsidRPr="00AF102D">
        <w:rPr>
          <w:rFonts w:ascii="Times New Roman" w:eastAsiaTheme="minorHAnsi" w:hAnsi="Times New Roman" w:cs="Times New Roman"/>
          <w:lang w:eastAsia="en-US"/>
        </w:rPr>
        <w:t xml:space="preserve"> odpowiednim argumentem przemawiającym za stwierdzeniem nie</w:t>
      </w:r>
      <w:r w:rsidR="009A7E46">
        <w:rPr>
          <w:rFonts w:ascii="Times New Roman" w:eastAsiaTheme="minorHAnsi" w:hAnsi="Times New Roman" w:cs="Times New Roman"/>
          <w:lang w:eastAsia="en-US"/>
        </w:rPr>
        <w:t>zgodności z K</w:t>
      </w:r>
      <w:r w:rsidRPr="00AF102D">
        <w:rPr>
          <w:rFonts w:ascii="Times New Roman" w:eastAsiaTheme="minorHAnsi" w:hAnsi="Times New Roman" w:cs="Times New Roman"/>
          <w:lang w:eastAsia="en-US"/>
        </w:rPr>
        <w:t>onstytucj</w:t>
      </w:r>
      <w:r w:rsidR="009A7E46">
        <w:rPr>
          <w:rFonts w:ascii="Times New Roman" w:eastAsiaTheme="minorHAnsi" w:hAnsi="Times New Roman" w:cs="Times New Roman"/>
          <w:lang w:eastAsia="en-US"/>
        </w:rPr>
        <w:t xml:space="preserve">ą </w:t>
      </w:r>
      <w:r w:rsidRPr="00AF102D">
        <w:rPr>
          <w:rFonts w:ascii="Times New Roman" w:eastAsiaTheme="minorHAnsi" w:hAnsi="Times New Roman" w:cs="Times New Roman"/>
          <w:lang w:eastAsia="en-US"/>
        </w:rPr>
        <w:t xml:space="preserve"> zaskarżonego przepisu w kontekście naruszenia art. 45 ust. 1 Konstytucji.</w:t>
      </w:r>
    </w:p>
    <w:p w:rsidR="009A7E46" w:rsidRDefault="00CA37C6" w:rsidP="00CA37C6">
      <w:pPr>
        <w:pStyle w:val="Bezodstpw"/>
        <w:spacing w:line="360" w:lineRule="auto"/>
        <w:ind w:firstLine="567"/>
        <w:jc w:val="both"/>
        <w:rPr>
          <w:rFonts w:ascii="Times New Roman" w:eastAsiaTheme="minorHAnsi" w:hAnsi="Times New Roman" w:cs="Times New Roman"/>
          <w:lang w:eastAsia="en-US"/>
        </w:rPr>
      </w:pPr>
      <w:r w:rsidRPr="00AF102D">
        <w:rPr>
          <w:rFonts w:ascii="Times New Roman" w:eastAsiaTheme="minorHAnsi" w:hAnsi="Times New Roman" w:cs="Times New Roman"/>
          <w:lang w:eastAsia="en-US"/>
        </w:rPr>
        <w:tab/>
        <w:t xml:space="preserve">Odnosząc się do art. 51 ust. 2 Konstytucji, który stanowi, że władze publiczne nie mogą pozyskiwać, gromadzić i udostępniać innych informacji o obywatelach niż niezbędne </w:t>
      </w:r>
      <w:r w:rsidRPr="00AF102D">
        <w:rPr>
          <w:rFonts w:ascii="Times New Roman" w:eastAsiaTheme="minorHAnsi" w:hAnsi="Times New Roman" w:cs="Times New Roman"/>
          <w:lang w:eastAsia="en-US"/>
        </w:rPr>
        <w:br/>
        <w:t xml:space="preserve">w demokratycznym państwie prawnym, należy wskazać na zagrożenia płynące z posługiwania się dowodami w sprawie zgodnie z dyspozycją zaskarżonego przepisu. Zgodnie z przyjętym orzecznictwem Trybunału Konstytucyjnego złamanie autonomii informacyjnej jednostki wymaga dowodu, że było to konieczne (niezbędne) w demokratycznym państwie prawnym. </w:t>
      </w:r>
    </w:p>
    <w:p w:rsidR="009A7E46" w:rsidRDefault="009A7E46" w:rsidP="00CA37C6">
      <w:pPr>
        <w:pStyle w:val="Bezodstpw"/>
        <w:spacing w:line="360" w:lineRule="auto"/>
        <w:ind w:firstLine="567"/>
        <w:jc w:val="both"/>
        <w:rPr>
          <w:rFonts w:ascii="Times New Roman" w:eastAsiaTheme="minorHAnsi" w:hAnsi="Times New Roman" w:cs="Times New Roman"/>
          <w:lang w:eastAsia="en-US"/>
        </w:rPr>
      </w:pPr>
      <w:r>
        <w:rPr>
          <w:rFonts w:ascii="Times New Roman" w:eastAsiaTheme="minorHAnsi" w:hAnsi="Times New Roman" w:cs="Times New Roman"/>
          <w:lang w:eastAsia="en-US"/>
        </w:rPr>
        <w:t>W p</w:t>
      </w:r>
      <w:r w:rsidR="00CA37C6" w:rsidRPr="00AF102D">
        <w:rPr>
          <w:rFonts w:ascii="Times New Roman" w:eastAsiaTheme="minorHAnsi" w:hAnsi="Times New Roman" w:cs="Times New Roman"/>
          <w:lang w:eastAsia="en-US"/>
        </w:rPr>
        <w:t>ostanowieni</w:t>
      </w:r>
      <w:r>
        <w:rPr>
          <w:rFonts w:ascii="Times New Roman" w:eastAsiaTheme="minorHAnsi" w:hAnsi="Times New Roman" w:cs="Times New Roman"/>
          <w:lang w:eastAsia="en-US"/>
        </w:rPr>
        <w:t>u</w:t>
      </w:r>
      <w:r w:rsidR="00CA37C6" w:rsidRPr="00AF102D">
        <w:rPr>
          <w:rFonts w:ascii="Times New Roman" w:eastAsiaTheme="minorHAnsi" w:hAnsi="Times New Roman" w:cs="Times New Roman"/>
          <w:lang w:eastAsia="en-US"/>
        </w:rPr>
        <w:t xml:space="preserve"> z dnia 19 marca 2014 r. (sygn. akt II KK 265/13) Sąd Najwyższy </w:t>
      </w:r>
      <w:r>
        <w:rPr>
          <w:rFonts w:ascii="Times New Roman" w:eastAsiaTheme="minorHAnsi" w:hAnsi="Times New Roman" w:cs="Times New Roman"/>
          <w:lang w:eastAsia="en-US"/>
        </w:rPr>
        <w:t>wskazał</w:t>
      </w:r>
      <w:r w:rsidR="00CA37C6" w:rsidRPr="00AF102D">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w:t>
      </w:r>
      <w:r w:rsidR="00CA37C6" w:rsidRPr="00AF102D">
        <w:rPr>
          <w:rFonts w:ascii="Times New Roman" w:eastAsiaTheme="minorHAnsi" w:hAnsi="Times New Roman" w:cs="Times New Roman"/>
          <w:lang w:eastAsia="en-US"/>
        </w:rPr>
        <w:t xml:space="preserve">że „nie jest możliwe zaakceptowanie sytuacji, w której funkcjonariusze demokratycznego państwa, funkcjonariusze władzy publicznej, mogliby gromadzić dowody wbrew obowiązującemu prawu, natomiast zgodnie z prawem, na podstawie właśnie tych dowodów, obywatele mieliby ponosić odpowiedzialność karną. Każde państwo odpowiada </w:t>
      </w:r>
      <w:r w:rsidR="00A869CF">
        <w:rPr>
          <w:rFonts w:ascii="Times New Roman" w:eastAsiaTheme="minorHAnsi" w:hAnsi="Times New Roman" w:cs="Times New Roman"/>
          <w:lang w:eastAsia="en-US"/>
        </w:rPr>
        <w:br/>
      </w:r>
      <w:r w:rsidR="00CA37C6" w:rsidRPr="00AF102D">
        <w:rPr>
          <w:rFonts w:ascii="Times New Roman" w:eastAsiaTheme="minorHAnsi" w:hAnsi="Times New Roman" w:cs="Times New Roman"/>
          <w:lang w:eastAsia="en-US"/>
        </w:rPr>
        <w:t xml:space="preserve">za bezprawną działalność swoich funkcjonariuszy służb specjalnych, a tej odpowiedzialności </w:t>
      </w:r>
      <w:r w:rsidR="00A869CF">
        <w:rPr>
          <w:rFonts w:ascii="Times New Roman" w:eastAsiaTheme="minorHAnsi" w:hAnsi="Times New Roman" w:cs="Times New Roman"/>
          <w:lang w:eastAsia="en-US"/>
        </w:rPr>
        <w:br/>
      </w:r>
      <w:r w:rsidR="00CA37C6" w:rsidRPr="00AF102D">
        <w:rPr>
          <w:rFonts w:ascii="Times New Roman" w:eastAsiaTheme="minorHAnsi" w:hAnsi="Times New Roman" w:cs="Times New Roman"/>
          <w:lang w:eastAsia="en-US"/>
        </w:rPr>
        <w:t xml:space="preserve">nie może wyłączać powoływanie się na interes społeczny w zwalczaniu przestępczości”. Wprawdzie ustawodawca przewidział wyłączenie pozyskiwania i późniejszego posługiwania </w:t>
      </w:r>
      <w:r w:rsidR="00A869CF">
        <w:rPr>
          <w:rFonts w:ascii="Times New Roman" w:eastAsiaTheme="minorHAnsi" w:hAnsi="Times New Roman" w:cs="Times New Roman"/>
          <w:lang w:eastAsia="en-US"/>
        </w:rPr>
        <w:br/>
      </w:r>
      <w:r w:rsidR="00CA37C6" w:rsidRPr="00AF102D">
        <w:rPr>
          <w:rFonts w:ascii="Times New Roman" w:eastAsiaTheme="minorHAnsi" w:hAnsi="Times New Roman" w:cs="Times New Roman"/>
          <w:lang w:eastAsia="en-US"/>
        </w:rPr>
        <w:t xml:space="preserve">się dowodami uzyskanymi w związku z pełnieniem przez funkcjonariusza publicznego obowiązków służbowych, jednakże tak wąskie wyłączenie może spowodować nadużycia przez </w:t>
      </w:r>
      <w:r w:rsidR="00CA37C6" w:rsidRPr="00AF102D">
        <w:rPr>
          <w:rFonts w:ascii="Times New Roman" w:eastAsiaTheme="minorHAnsi" w:hAnsi="Times New Roman" w:cs="Times New Roman"/>
          <w:lang w:eastAsia="en-US"/>
        </w:rPr>
        <w:lastRenderedPageBreak/>
        <w:t xml:space="preserve">pozostałe podmioty, nie określone w zaskarżonym przepisie lub co więcej może prowadzić </w:t>
      </w:r>
      <w:r w:rsidR="00CA37C6" w:rsidRPr="00AF102D">
        <w:rPr>
          <w:rFonts w:ascii="Times New Roman" w:eastAsiaTheme="minorHAnsi" w:hAnsi="Times New Roman" w:cs="Times New Roman"/>
          <w:lang w:eastAsia="en-US"/>
        </w:rPr>
        <w:br/>
        <w:t xml:space="preserve">do pozyskiwania dowodów </w:t>
      </w:r>
      <w:r w:rsidR="00CA37C6" w:rsidRPr="00AF102D">
        <w:rPr>
          <w:rFonts w:ascii="Times New Roman" w:eastAsiaTheme="minorHAnsi" w:hAnsi="Times New Roman" w:cs="Times New Roman"/>
          <w:i/>
          <w:lang w:eastAsia="en-US"/>
        </w:rPr>
        <w:t xml:space="preserve">contra legem </w:t>
      </w:r>
      <w:r w:rsidR="00CA37C6" w:rsidRPr="00AF102D">
        <w:rPr>
          <w:rFonts w:ascii="Times New Roman" w:eastAsiaTheme="minorHAnsi" w:hAnsi="Times New Roman" w:cs="Times New Roman"/>
          <w:lang w:eastAsia="en-US"/>
        </w:rPr>
        <w:t xml:space="preserve">na zlecenie funkcjonariuszy publicznych (lecz </w:t>
      </w:r>
      <w:r w:rsidR="00A869CF">
        <w:rPr>
          <w:rFonts w:ascii="Times New Roman" w:eastAsiaTheme="minorHAnsi" w:hAnsi="Times New Roman" w:cs="Times New Roman"/>
          <w:lang w:eastAsia="en-US"/>
        </w:rPr>
        <w:br/>
      </w:r>
      <w:r w:rsidR="00CA37C6" w:rsidRPr="00AF102D">
        <w:rPr>
          <w:rFonts w:ascii="Times New Roman" w:eastAsiaTheme="minorHAnsi" w:hAnsi="Times New Roman" w:cs="Times New Roman"/>
          <w:lang w:eastAsia="en-US"/>
        </w:rPr>
        <w:t xml:space="preserve">nie tylko) celem ich późniejszego wykorzystania w procesie już zgodnie z obowiązującym prawem. </w:t>
      </w:r>
    </w:p>
    <w:p w:rsidR="00CA37C6" w:rsidRPr="00AF102D" w:rsidRDefault="00CA37C6" w:rsidP="00CA37C6">
      <w:pPr>
        <w:pStyle w:val="Bezodstpw"/>
        <w:spacing w:line="360" w:lineRule="auto"/>
        <w:ind w:firstLine="567"/>
        <w:jc w:val="both"/>
        <w:rPr>
          <w:rFonts w:ascii="Times New Roman" w:hAnsi="Times New Roman" w:cs="Times New Roman"/>
          <w:lang w:eastAsia="pl-PL"/>
        </w:rPr>
      </w:pPr>
      <w:r w:rsidRPr="00AF102D">
        <w:rPr>
          <w:rFonts w:ascii="Times New Roman" w:eastAsiaTheme="minorHAnsi" w:hAnsi="Times New Roman" w:cs="Times New Roman"/>
          <w:lang w:eastAsia="en-US"/>
        </w:rPr>
        <w:t>Takie rozwiązanie jest</w:t>
      </w:r>
      <w:r w:rsidR="009A7E46">
        <w:rPr>
          <w:rFonts w:ascii="Times New Roman" w:eastAsiaTheme="minorHAnsi" w:hAnsi="Times New Roman" w:cs="Times New Roman"/>
          <w:lang w:eastAsia="en-US"/>
        </w:rPr>
        <w:t xml:space="preserve"> w ocenie Krajowej Rady Sądownictwa, </w:t>
      </w:r>
      <w:r w:rsidRPr="00AF102D">
        <w:rPr>
          <w:rFonts w:ascii="Times New Roman" w:eastAsiaTheme="minorHAnsi" w:hAnsi="Times New Roman" w:cs="Times New Roman"/>
          <w:lang w:eastAsia="en-US"/>
        </w:rPr>
        <w:t xml:space="preserve">niezgodne </w:t>
      </w:r>
      <w:r w:rsidR="009A7E46">
        <w:rPr>
          <w:rFonts w:ascii="Times New Roman" w:eastAsiaTheme="minorHAnsi" w:hAnsi="Times New Roman" w:cs="Times New Roman"/>
          <w:lang w:eastAsia="en-US"/>
        </w:rPr>
        <w:t xml:space="preserve">również </w:t>
      </w:r>
      <w:r w:rsidRPr="00AF102D">
        <w:rPr>
          <w:rFonts w:ascii="Times New Roman" w:eastAsiaTheme="minorHAnsi" w:hAnsi="Times New Roman" w:cs="Times New Roman"/>
          <w:lang w:eastAsia="en-US"/>
        </w:rPr>
        <w:t xml:space="preserve">z </w:t>
      </w:r>
      <w:r w:rsidRPr="00AF102D">
        <w:rPr>
          <w:rFonts w:ascii="Times New Roman" w:hAnsi="Times New Roman" w:cs="Times New Roman"/>
          <w:lang w:eastAsia="pl-PL"/>
        </w:rPr>
        <w:t>art. 6 ust. 1 Konwencji o Ochronie Praw Człowieka</w:t>
      </w:r>
      <w:r w:rsidR="009A7E46">
        <w:rPr>
          <w:rFonts w:ascii="Times New Roman" w:hAnsi="Times New Roman" w:cs="Times New Roman"/>
          <w:lang w:eastAsia="pl-PL"/>
        </w:rPr>
        <w:t xml:space="preserve"> </w:t>
      </w:r>
      <w:r w:rsidRPr="00AF102D">
        <w:rPr>
          <w:rFonts w:ascii="Times New Roman" w:hAnsi="Times New Roman" w:cs="Times New Roman"/>
          <w:lang w:eastAsia="pl-PL"/>
        </w:rPr>
        <w:t xml:space="preserve">i Podstawowych Wolności, której sygnatariuszem jest Rzeczypospolita Polska. Zawarta w tym przepisie gwarancja rzetelnego procesu jest odczytywana w związku z zasadą państwa prawnego, która stawia sądy w pozycji podstawowego strażnika praw jednostki poddanego obowiązkowi przestrzegania gwarancji proceduralnych, które są kontrolowane również przez nadzór europejski (Europejski Trybunał Praw Człowieka) jako gwaranta o ostatecznym charakterze. W przypadku zaskarżonego przepisu można dostrzec ingerencję zarówno w materię proceduralną w zakresie rodzimego prawa </w:t>
      </w:r>
      <w:r w:rsidR="00176AA2">
        <w:rPr>
          <w:rFonts w:ascii="Times New Roman" w:hAnsi="Times New Roman" w:cs="Times New Roman"/>
          <w:lang w:eastAsia="pl-PL"/>
        </w:rPr>
        <w:br/>
      </w:r>
      <w:r w:rsidRPr="00AF102D">
        <w:rPr>
          <w:rFonts w:ascii="Times New Roman" w:hAnsi="Times New Roman" w:cs="Times New Roman"/>
          <w:lang w:eastAsia="pl-PL"/>
        </w:rPr>
        <w:t xml:space="preserve">ale również naruszenie przywołanej powyżej Konwencji. </w:t>
      </w:r>
      <w:r w:rsidR="00744627">
        <w:rPr>
          <w:rFonts w:ascii="Times New Roman" w:hAnsi="Times New Roman" w:cs="Times New Roman"/>
          <w:lang w:eastAsia="pl-PL"/>
        </w:rPr>
        <w:t>A</w:t>
      </w:r>
      <w:r w:rsidRPr="00AF102D">
        <w:rPr>
          <w:rFonts w:ascii="Times New Roman" w:hAnsi="Times New Roman" w:cs="Times New Roman"/>
          <w:lang w:eastAsia="pl-PL"/>
        </w:rPr>
        <w:t xml:space="preserve">rt. 3 Konwencji o Ochronie Praw Człowieka i Podstawowych Wolności stanowi o tym, że nikt nie może być poddany torturom </w:t>
      </w:r>
      <w:r w:rsidR="00176AA2">
        <w:rPr>
          <w:rFonts w:ascii="Times New Roman" w:hAnsi="Times New Roman" w:cs="Times New Roman"/>
          <w:lang w:eastAsia="pl-PL"/>
        </w:rPr>
        <w:br/>
      </w:r>
      <w:r w:rsidRPr="00AF102D">
        <w:rPr>
          <w:rFonts w:ascii="Times New Roman" w:hAnsi="Times New Roman" w:cs="Times New Roman"/>
          <w:lang w:eastAsia="pl-PL"/>
        </w:rPr>
        <w:t xml:space="preserve">ani nieludzkiemu lub poniżającemu traktowaniu albo karaniu, co w związku z zaskarżonym przepisem pozostaje w korelacji z uwagi na możliwość legalizacji dowodów pochodzących </w:t>
      </w:r>
      <w:r w:rsidR="00A869CF">
        <w:rPr>
          <w:rFonts w:ascii="Times New Roman" w:hAnsi="Times New Roman" w:cs="Times New Roman"/>
          <w:lang w:eastAsia="pl-PL"/>
        </w:rPr>
        <w:br/>
      </w:r>
      <w:r w:rsidRPr="00AF102D">
        <w:rPr>
          <w:rFonts w:ascii="Times New Roman" w:hAnsi="Times New Roman" w:cs="Times New Roman"/>
          <w:lang w:eastAsia="pl-PL"/>
        </w:rPr>
        <w:t xml:space="preserve">z czynów zabronionych, opisanych przez powołany przepis. W doktrynie i orzecznictwie strasburskim bardzo stanowczo odnoszono się do przestrzegania dyspozycji zawartych </w:t>
      </w:r>
      <w:r w:rsidR="00176AA2">
        <w:rPr>
          <w:rFonts w:ascii="Times New Roman" w:hAnsi="Times New Roman" w:cs="Times New Roman"/>
          <w:lang w:eastAsia="pl-PL"/>
        </w:rPr>
        <w:br/>
      </w:r>
      <w:r w:rsidRPr="00AF102D">
        <w:rPr>
          <w:rFonts w:ascii="Times New Roman" w:hAnsi="Times New Roman" w:cs="Times New Roman"/>
          <w:lang w:eastAsia="pl-PL"/>
        </w:rPr>
        <w:t>w tym przepisie, wskazując, że „uświęca jedną</w:t>
      </w:r>
      <w:r w:rsidR="009A7E46">
        <w:rPr>
          <w:rFonts w:ascii="Times New Roman" w:hAnsi="Times New Roman" w:cs="Times New Roman"/>
          <w:lang w:eastAsia="pl-PL"/>
        </w:rPr>
        <w:t xml:space="preserve"> </w:t>
      </w:r>
      <w:r w:rsidRPr="00AF102D">
        <w:rPr>
          <w:rFonts w:ascii="Times New Roman" w:hAnsi="Times New Roman" w:cs="Times New Roman"/>
          <w:lang w:eastAsia="pl-PL"/>
        </w:rPr>
        <w:t>z podstawowych wartości demokratycznego społeczeństwa (..)”</w:t>
      </w:r>
      <w:r w:rsidR="00A869CF">
        <w:rPr>
          <w:rFonts w:ascii="Times New Roman" w:hAnsi="Times New Roman" w:cs="Times New Roman"/>
          <w:lang w:eastAsia="pl-PL"/>
        </w:rPr>
        <w:t xml:space="preserve"> (wyr. </w:t>
      </w:r>
      <w:proofErr w:type="spellStart"/>
      <w:r w:rsidR="00A869CF">
        <w:rPr>
          <w:rFonts w:ascii="Times New Roman" w:hAnsi="Times New Roman" w:cs="Times New Roman"/>
          <w:lang w:eastAsia="pl-PL"/>
        </w:rPr>
        <w:t>ETPCz</w:t>
      </w:r>
      <w:proofErr w:type="spellEnd"/>
      <w:r w:rsidR="00A869CF">
        <w:rPr>
          <w:rFonts w:ascii="Times New Roman" w:hAnsi="Times New Roman" w:cs="Times New Roman"/>
          <w:lang w:eastAsia="pl-PL"/>
        </w:rPr>
        <w:t xml:space="preserve"> z 7 lipca 1989 r. </w:t>
      </w:r>
      <w:r w:rsidRPr="00AF102D">
        <w:rPr>
          <w:rFonts w:ascii="Times New Roman" w:hAnsi="Times New Roman" w:cs="Times New Roman"/>
          <w:lang w:eastAsia="pl-PL"/>
        </w:rPr>
        <w:t xml:space="preserve">w sprawie </w:t>
      </w:r>
      <w:proofErr w:type="spellStart"/>
      <w:r w:rsidRPr="00AF102D">
        <w:rPr>
          <w:rFonts w:ascii="Times New Roman" w:hAnsi="Times New Roman" w:cs="Times New Roman"/>
          <w:lang w:eastAsia="pl-PL"/>
        </w:rPr>
        <w:t>Soering</w:t>
      </w:r>
      <w:proofErr w:type="spellEnd"/>
      <w:r w:rsidRPr="00AF102D">
        <w:rPr>
          <w:rFonts w:ascii="Times New Roman" w:hAnsi="Times New Roman" w:cs="Times New Roman"/>
          <w:lang w:eastAsia="pl-PL"/>
        </w:rPr>
        <w:t xml:space="preserve"> p. Zjednoczonemu Królestwu, par. 88; oraz z 29 kwietnia 2002 r. w sprawie </w:t>
      </w:r>
      <w:proofErr w:type="spellStart"/>
      <w:r w:rsidRPr="00AF102D">
        <w:rPr>
          <w:rFonts w:ascii="Times New Roman" w:hAnsi="Times New Roman" w:cs="Times New Roman"/>
          <w:lang w:eastAsia="pl-PL"/>
        </w:rPr>
        <w:t>Pretty</w:t>
      </w:r>
      <w:proofErr w:type="spellEnd"/>
      <w:r w:rsidRPr="00AF102D">
        <w:rPr>
          <w:rFonts w:ascii="Times New Roman" w:hAnsi="Times New Roman" w:cs="Times New Roman"/>
          <w:lang w:eastAsia="pl-PL"/>
        </w:rPr>
        <w:t xml:space="preserve"> p. Zjednoczonemu Królestwu, par. 49) oraz, że składa się na „podstawowy kościec aksjologiczny” (</w:t>
      </w:r>
      <w:proofErr w:type="spellStart"/>
      <w:r w:rsidRPr="00AF102D">
        <w:rPr>
          <w:rFonts w:ascii="Times New Roman" w:hAnsi="Times New Roman" w:cs="Times New Roman"/>
          <w:i/>
          <w:lang w:eastAsia="pl-PL"/>
        </w:rPr>
        <w:t>core</w:t>
      </w:r>
      <w:proofErr w:type="spellEnd"/>
      <w:r w:rsidRPr="00AF102D">
        <w:rPr>
          <w:rFonts w:ascii="Times New Roman" w:hAnsi="Times New Roman" w:cs="Times New Roman"/>
          <w:i/>
          <w:lang w:eastAsia="pl-PL"/>
        </w:rPr>
        <w:t xml:space="preserve"> </w:t>
      </w:r>
      <w:proofErr w:type="spellStart"/>
      <w:r w:rsidRPr="00AF102D">
        <w:rPr>
          <w:rFonts w:ascii="Times New Roman" w:hAnsi="Times New Roman" w:cs="Times New Roman"/>
          <w:i/>
          <w:lang w:eastAsia="pl-PL"/>
        </w:rPr>
        <w:t>values</w:t>
      </w:r>
      <w:proofErr w:type="spellEnd"/>
      <w:r w:rsidRPr="00AF102D">
        <w:rPr>
          <w:rFonts w:ascii="Times New Roman" w:hAnsi="Times New Roman" w:cs="Times New Roman"/>
          <w:lang w:eastAsia="pl-PL"/>
        </w:rPr>
        <w:t xml:space="preserve">)  Konwencji </w:t>
      </w:r>
      <w:r w:rsidR="00A869CF">
        <w:rPr>
          <w:rFonts w:ascii="Times New Roman" w:hAnsi="Times New Roman" w:cs="Times New Roman"/>
          <w:lang w:eastAsia="pl-PL"/>
        </w:rPr>
        <w:br/>
      </w:r>
      <w:r w:rsidRPr="00AF102D">
        <w:rPr>
          <w:rFonts w:ascii="Times New Roman" w:hAnsi="Times New Roman" w:cs="Times New Roman"/>
          <w:lang w:eastAsia="pl-PL"/>
        </w:rPr>
        <w:t xml:space="preserve">i dlatego wymaga szczególnie rygorystycznego egzekwowania od państw członkowskich </w:t>
      </w:r>
      <w:r w:rsidR="00A869CF">
        <w:rPr>
          <w:rFonts w:ascii="Times New Roman" w:hAnsi="Times New Roman" w:cs="Times New Roman"/>
          <w:lang w:eastAsia="pl-PL"/>
        </w:rPr>
        <w:br/>
      </w:r>
      <w:r w:rsidRPr="00AF102D">
        <w:rPr>
          <w:rFonts w:ascii="Times New Roman" w:hAnsi="Times New Roman" w:cs="Times New Roman"/>
          <w:lang w:eastAsia="pl-PL"/>
        </w:rPr>
        <w:t xml:space="preserve">(wyr. </w:t>
      </w:r>
      <w:proofErr w:type="spellStart"/>
      <w:r w:rsidRPr="00AF102D">
        <w:rPr>
          <w:rFonts w:ascii="Times New Roman" w:hAnsi="Times New Roman" w:cs="Times New Roman"/>
          <w:lang w:eastAsia="pl-PL"/>
        </w:rPr>
        <w:t>ETPCz</w:t>
      </w:r>
      <w:proofErr w:type="spellEnd"/>
      <w:r w:rsidRPr="00AF102D">
        <w:rPr>
          <w:rFonts w:ascii="Times New Roman" w:hAnsi="Times New Roman" w:cs="Times New Roman"/>
          <w:lang w:eastAsia="pl-PL"/>
        </w:rPr>
        <w:t xml:space="preserve"> z 15 listopada 1996 r. w sprawie </w:t>
      </w:r>
      <w:proofErr w:type="spellStart"/>
      <w:r w:rsidRPr="00AF102D">
        <w:rPr>
          <w:rFonts w:ascii="Times New Roman" w:hAnsi="Times New Roman" w:cs="Times New Roman"/>
          <w:lang w:eastAsia="pl-PL"/>
        </w:rPr>
        <w:t>Chahal</w:t>
      </w:r>
      <w:proofErr w:type="spellEnd"/>
      <w:r w:rsidRPr="00AF102D">
        <w:rPr>
          <w:rFonts w:ascii="Times New Roman" w:hAnsi="Times New Roman" w:cs="Times New Roman"/>
          <w:lang w:eastAsia="pl-PL"/>
        </w:rPr>
        <w:t xml:space="preserve"> p. Zjednoczonemu Królestwu, par. 96).</w:t>
      </w:r>
    </w:p>
    <w:p w:rsidR="00CA37C6" w:rsidRPr="00AF102D" w:rsidRDefault="00CA37C6" w:rsidP="00CA37C6">
      <w:pPr>
        <w:pStyle w:val="Bezodstpw"/>
        <w:spacing w:line="360" w:lineRule="auto"/>
        <w:ind w:firstLine="567"/>
        <w:jc w:val="both"/>
        <w:rPr>
          <w:rFonts w:ascii="Times New Roman" w:hAnsi="Times New Roman" w:cs="Times New Roman"/>
          <w:lang w:eastAsia="pl-PL"/>
        </w:rPr>
      </w:pPr>
      <w:r w:rsidRPr="00AF102D">
        <w:rPr>
          <w:rFonts w:ascii="Times New Roman" w:hAnsi="Times New Roman" w:cs="Times New Roman"/>
          <w:lang w:eastAsia="pl-PL"/>
        </w:rPr>
        <w:tab/>
        <w:t xml:space="preserve">Art. 174 Konstytucji stanowi, że Sądy i Trybunały wydają wyroki w imieniu Rzeczypospolitej Polskiej – co jest ściśle powiązane z zasadą jednolitości władzy sądowniczej. Zdaniem Rady, w obecnym stanie prawnym naruszona zostanie niezawisłość sędziowska </w:t>
      </w:r>
      <w:r w:rsidRPr="00AF102D">
        <w:rPr>
          <w:rFonts w:ascii="Times New Roman" w:hAnsi="Times New Roman" w:cs="Times New Roman"/>
          <w:lang w:eastAsia="pl-PL"/>
        </w:rPr>
        <w:br/>
        <w:t xml:space="preserve">w zakresie orzekania. Swoboda jaką dysponują sądy podczas ferowania wyroków w imieniu Rzeczypospolitej Polskiej łączy w sobie indywidualne preferencje światopoglądowe sędziów oraz ich przekonania, które nie mogą jednak wpływać na zasadę bezstronności oraz ograniczać </w:t>
      </w:r>
      <w:r w:rsidRPr="00AF102D">
        <w:rPr>
          <w:rFonts w:ascii="Times New Roman" w:hAnsi="Times New Roman" w:cs="Times New Roman"/>
          <w:lang w:eastAsia="pl-PL"/>
        </w:rPr>
        <w:br/>
        <w:t>w przedmiocie aksjologicznego stosowania Konstytucji. Dlatego też, rozważając dyspozycję zaskarżonego przepisu należy zwrócić uwagę na wynikającą z niej rozbieżność w kwestii pojmowanej aksjologii przez sędziów, również na poziomie Konstytucyjnym.</w:t>
      </w:r>
    </w:p>
    <w:p w:rsidR="00CA37C6" w:rsidRPr="00AF102D" w:rsidRDefault="00CA37C6" w:rsidP="00CA37C6">
      <w:pPr>
        <w:pStyle w:val="Bezodstpw"/>
        <w:spacing w:line="360" w:lineRule="auto"/>
        <w:ind w:firstLine="567"/>
        <w:jc w:val="both"/>
        <w:rPr>
          <w:rFonts w:ascii="Times New Roman" w:hAnsi="Times New Roman" w:cs="Times New Roman"/>
          <w:lang w:eastAsia="pl-PL"/>
        </w:rPr>
      </w:pPr>
      <w:r w:rsidRPr="00AF102D">
        <w:rPr>
          <w:rFonts w:ascii="Times New Roman" w:hAnsi="Times New Roman" w:cs="Times New Roman"/>
          <w:lang w:eastAsia="pl-PL"/>
        </w:rPr>
        <w:tab/>
        <w:t xml:space="preserve">W kontekście powyższego, Rada uważa, że skarżony przepis jest również niezgodny </w:t>
      </w:r>
      <w:r w:rsidRPr="00AF102D">
        <w:rPr>
          <w:rFonts w:ascii="Times New Roman" w:hAnsi="Times New Roman" w:cs="Times New Roman"/>
          <w:lang w:eastAsia="pl-PL"/>
        </w:rPr>
        <w:br/>
        <w:t>z art. 178 ust. 1 i 2</w:t>
      </w:r>
      <w:r w:rsidR="00BE6F4E">
        <w:rPr>
          <w:rFonts w:ascii="Times New Roman" w:hAnsi="Times New Roman" w:cs="Times New Roman"/>
          <w:lang w:eastAsia="pl-PL"/>
        </w:rPr>
        <w:t xml:space="preserve"> Konstytucji</w:t>
      </w:r>
      <w:r w:rsidRPr="00AF102D">
        <w:rPr>
          <w:rFonts w:ascii="Times New Roman" w:hAnsi="Times New Roman" w:cs="Times New Roman"/>
          <w:lang w:eastAsia="pl-PL"/>
        </w:rPr>
        <w:t xml:space="preserve">. Ingerencja w niezawisłość sędziowską jest niedopuszczalna, </w:t>
      </w:r>
      <w:r w:rsidR="00BE6F4E">
        <w:rPr>
          <w:rFonts w:ascii="Times New Roman" w:hAnsi="Times New Roman" w:cs="Times New Roman"/>
          <w:lang w:eastAsia="pl-PL"/>
        </w:rPr>
        <w:br/>
      </w:r>
      <w:r w:rsidRPr="00AF102D">
        <w:rPr>
          <w:rFonts w:ascii="Times New Roman" w:hAnsi="Times New Roman" w:cs="Times New Roman"/>
          <w:lang w:eastAsia="pl-PL"/>
        </w:rPr>
        <w:lastRenderedPageBreak/>
        <w:t>a ustawodawca ma obowiązek zapewnienia sędziom warunków pracy</w:t>
      </w:r>
      <w:r w:rsidR="00BE6F4E">
        <w:rPr>
          <w:rFonts w:ascii="Times New Roman" w:hAnsi="Times New Roman" w:cs="Times New Roman"/>
          <w:lang w:eastAsia="pl-PL"/>
        </w:rPr>
        <w:t xml:space="preserve"> orzeczniczej</w:t>
      </w:r>
      <w:r w:rsidRPr="00AF102D">
        <w:rPr>
          <w:rFonts w:ascii="Times New Roman" w:hAnsi="Times New Roman" w:cs="Times New Roman"/>
          <w:lang w:eastAsia="pl-PL"/>
        </w:rPr>
        <w:t xml:space="preserve"> odpowiadającym godności urzędu oraz zakresowi ich obowiązków. Przyjąć wypada, że z uwagi na specyfikę pracy oraz nałożone obowiązki wynikające zarówno wprost z Konstytucji jak również z ustaw, podstawowymi narzędziami</w:t>
      </w:r>
      <w:r w:rsidR="00383B39">
        <w:rPr>
          <w:rFonts w:ascii="Times New Roman" w:hAnsi="Times New Roman" w:cs="Times New Roman"/>
          <w:lang w:eastAsia="pl-PL"/>
        </w:rPr>
        <w:t xml:space="preserve"> wykonywania obowiązków służbowych przez</w:t>
      </w:r>
      <w:r w:rsidRPr="00AF102D">
        <w:rPr>
          <w:rFonts w:ascii="Times New Roman" w:hAnsi="Times New Roman" w:cs="Times New Roman"/>
          <w:lang w:eastAsia="pl-PL"/>
        </w:rPr>
        <w:t xml:space="preserve"> sędziów są właśnie akty normatywne. Jeżeli więc ustawodawca wprowadza aktem o randze ustawy rozwiązania sprzeczne zarówno z ustaw</w:t>
      </w:r>
      <w:r w:rsidR="00383B39">
        <w:rPr>
          <w:rFonts w:ascii="Times New Roman" w:hAnsi="Times New Roman" w:cs="Times New Roman"/>
          <w:lang w:eastAsia="pl-PL"/>
        </w:rPr>
        <w:t xml:space="preserve">ą zasadniczą, innymi ustawami, </w:t>
      </w:r>
      <w:r w:rsidRPr="00AF102D">
        <w:rPr>
          <w:rFonts w:ascii="Times New Roman" w:hAnsi="Times New Roman" w:cs="Times New Roman"/>
          <w:lang w:eastAsia="pl-PL"/>
        </w:rPr>
        <w:t xml:space="preserve">a w końcu wewnętrznie sprzeczne oraz nie znajdujące podstawy w tradycji ustrojowej, to należy uznać, </w:t>
      </w:r>
      <w:r w:rsidR="00BE6F4E">
        <w:rPr>
          <w:rFonts w:ascii="Times New Roman" w:hAnsi="Times New Roman" w:cs="Times New Roman"/>
          <w:lang w:eastAsia="pl-PL"/>
        </w:rPr>
        <w:br/>
      </w:r>
      <w:r w:rsidRPr="00AF102D">
        <w:rPr>
          <w:rFonts w:ascii="Times New Roman" w:hAnsi="Times New Roman" w:cs="Times New Roman"/>
          <w:lang w:eastAsia="pl-PL"/>
        </w:rPr>
        <w:t>że nie zapewnia sędziom odpowiednich warunków pracy</w:t>
      </w:r>
      <w:r w:rsidR="00383B39">
        <w:rPr>
          <w:rFonts w:ascii="Times New Roman" w:hAnsi="Times New Roman" w:cs="Times New Roman"/>
          <w:lang w:eastAsia="pl-PL"/>
        </w:rPr>
        <w:t xml:space="preserve"> orzeczniczej</w:t>
      </w:r>
      <w:r w:rsidRPr="00AF102D">
        <w:rPr>
          <w:rFonts w:ascii="Times New Roman" w:hAnsi="Times New Roman" w:cs="Times New Roman"/>
          <w:lang w:eastAsia="pl-PL"/>
        </w:rPr>
        <w:t>. Można wręcz odnieść wrażenie, że praca sędziów zostaje utrudniona zarówno w zakresie rozstrzygania na poziomie materialnym, proceduralnym ale również moralnym, etycznym i aksjologicznym w odniesieniu do zapisów Konstytucyjnych (w szczególności art. 174, 176 ust. 2, 177 oraz 178).</w:t>
      </w:r>
    </w:p>
    <w:p w:rsidR="00CA37C6" w:rsidRPr="00AF102D" w:rsidRDefault="00CA37C6" w:rsidP="00CA37C6">
      <w:pPr>
        <w:pStyle w:val="Bezodstpw"/>
        <w:spacing w:line="360" w:lineRule="auto"/>
        <w:ind w:firstLine="567"/>
        <w:jc w:val="both"/>
        <w:rPr>
          <w:rFonts w:ascii="Times New Roman" w:hAnsi="Times New Roman" w:cs="Times New Roman"/>
          <w:lang w:eastAsia="pl-PL"/>
        </w:rPr>
      </w:pPr>
      <w:r w:rsidRPr="00AF102D">
        <w:rPr>
          <w:rFonts w:ascii="Times New Roman" w:hAnsi="Times New Roman" w:cs="Times New Roman"/>
          <w:lang w:eastAsia="pl-PL"/>
        </w:rPr>
        <w:tab/>
        <w:t xml:space="preserve">W nawiązaniu do powyższego należy odnieść się również do tradycji ustrojowych (systemu prawa kontynentalnego) innych wiodących państw europejskich w zakresie legalności dowodów. W pierwszej kolejności godzi się przywołać zasadę zawartą w art. 191 </w:t>
      </w:r>
      <w:proofErr w:type="spellStart"/>
      <w:r w:rsidRPr="00AF102D">
        <w:rPr>
          <w:rFonts w:ascii="Times New Roman" w:hAnsi="Times New Roman" w:cs="Times New Roman"/>
          <w:lang w:eastAsia="pl-PL"/>
        </w:rPr>
        <w:t>Codice</w:t>
      </w:r>
      <w:proofErr w:type="spellEnd"/>
      <w:r w:rsidRPr="00AF102D">
        <w:rPr>
          <w:rFonts w:ascii="Times New Roman" w:hAnsi="Times New Roman" w:cs="Times New Roman"/>
          <w:lang w:eastAsia="pl-PL"/>
        </w:rPr>
        <w:t xml:space="preserve"> </w:t>
      </w:r>
      <w:r w:rsidRPr="00AF102D">
        <w:rPr>
          <w:rFonts w:ascii="Times New Roman" w:hAnsi="Times New Roman" w:cs="Times New Roman"/>
          <w:lang w:eastAsia="pl-PL"/>
        </w:rPr>
        <w:br/>
        <w:t xml:space="preserve">di procedura </w:t>
      </w:r>
      <w:proofErr w:type="spellStart"/>
      <w:r w:rsidRPr="00AF102D">
        <w:rPr>
          <w:rFonts w:ascii="Times New Roman" w:hAnsi="Times New Roman" w:cs="Times New Roman"/>
          <w:lang w:eastAsia="pl-PL"/>
        </w:rPr>
        <w:t>penale</w:t>
      </w:r>
      <w:proofErr w:type="spellEnd"/>
      <w:r w:rsidRPr="00AF102D">
        <w:rPr>
          <w:rFonts w:ascii="Times New Roman" w:hAnsi="Times New Roman" w:cs="Times New Roman"/>
          <w:lang w:eastAsia="pl-PL"/>
        </w:rPr>
        <w:t xml:space="preserve"> (włoski Kodeks postępowania karnego – dalej </w:t>
      </w:r>
      <w:proofErr w:type="spellStart"/>
      <w:r w:rsidRPr="00AF102D">
        <w:rPr>
          <w:rFonts w:ascii="Times New Roman" w:hAnsi="Times New Roman" w:cs="Times New Roman"/>
          <w:lang w:eastAsia="pl-PL"/>
        </w:rPr>
        <w:t>c.p.p</w:t>
      </w:r>
      <w:proofErr w:type="spellEnd"/>
      <w:r w:rsidRPr="00AF102D">
        <w:rPr>
          <w:rFonts w:ascii="Times New Roman" w:hAnsi="Times New Roman" w:cs="Times New Roman"/>
          <w:lang w:eastAsia="pl-PL"/>
        </w:rPr>
        <w:t xml:space="preserve">.) stanowiącą </w:t>
      </w:r>
      <w:r w:rsidRPr="00AF102D">
        <w:rPr>
          <w:rFonts w:ascii="Times New Roman" w:hAnsi="Times New Roman" w:cs="Times New Roman"/>
          <w:lang w:eastAsia="pl-PL"/>
        </w:rPr>
        <w:br/>
        <w:t xml:space="preserve">o niedopuszczalności dowodów zdobytych nielegalnie z naruszeniem ustawy. Kolejne unormowania pozostające w związku z przywołaną zasadą znajdują się w art. 62, 195 ust. 4 i 7, art. 203 i 271 </w:t>
      </w:r>
      <w:proofErr w:type="spellStart"/>
      <w:r w:rsidRPr="00AF102D">
        <w:rPr>
          <w:rFonts w:ascii="Times New Roman" w:hAnsi="Times New Roman" w:cs="Times New Roman"/>
          <w:lang w:eastAsia="pl-PL"/>
        </w:rPr>
        <w:t>c.p.p</w:t>
      </w:r>
      <w:proofErr w:type="spellEnd"/>
      <w:r w:rsidRPr="00AF102D">
        <w:rPr>
          <w:rFonts w:ascii="Times New Roman" w:hAnsi="Times New Roman" w:cs="Times New Roman"/>
          <w:lang w:eastAsia="pl-PL"/>
        </w:rPr>
        <w:t xml:space="preserve">. Niezastosowanie się do przywołanych przepisów jest we włoskiej procedurze karnej podstawą odwoławczą. Zestawiając zaskarżony przepis z zasadą przedstawioną powyżej można odnieść wrażenie, że jest on wprost odwrotnie proporcjonalny (pomijając wyłączenie w nim zastosowane). </w:t>
      </w:r>
    </w:p>
    <w:p w:rsidR="00CA37C6" w:rsidRPr="00AF102D" w:rsidRDefault="00CA37C6" w:rsidP="00CA37C6">
      <w:pPr>
        <w:pStyle w:val="Bezodstpw"/>
        <w:spacing w:line="360" w:lineRule="auto"/>
        <w:ind w:firstLine="567"/>
        <w:jc w:val="both"/>
        <w:rPr>
          <w:rFonts w:ascii="Times New Roman" w:hAnsi="Times New Roman" w:cs="Times New Roman"/>
          <w:bCs/>
          <w:color w:val="000000"/>
          <w:shd w:val="clear" w:color="auto" w:fill="FFFFFF"/>
        </w:rPr>
      </w:pPr>
      <w:r w:rsidRPr="00AF102D">
        <w:rPr>
          <w:rFonts w:ascii="Times New Roman" w:hAnsi="Times New Roman" w:cs="Times New Roman"/>
          <w:lang w:eastAsia="pl-PL"/>
        </w:rPr>
        <w:t>Z kolei</w:t>
      </w:r>
      <w:r w:rsidRPr="00AF102D">
        <w:rPr>
          <w:rFonts w:ascii="Times New Roman" w:hAnsi="Times New Roman" w:cs="Times New Roman"/>
          <w:bCs/>
          <w:color w:val="000000"/>
          <w:shd w:val="clear" w:color="auto" w:fill="FFFFFF"/>
        </w:rPr>
        <w:t xml:space="preserve"> art. </w:t>
      </w:r>
      <w:r w:rsidRPr="00AF102D">
        <w:rPr>
          <w:rStyle w:val="apple-converted-space"/>
          <w:rFonts w:ascii="Times New Roman" w:hAnsi="Times New Roman" w:cs="Times New Roman"/>
          <w:bCs/>
          <w:color w:val="000000"/>
          <w:shd w:val="clear" w:color="auto" w:fill="FFFFFF"/>
        </w:rPr>
        <w:t> 427</w:t>
      </w:r>
      <w:r w:rsidRPr="00AF102D">
        <w:rPr>
          <w:rFonts w:ascii="Times New Roman" w:hAnsi="Times New Roman" w:cs="Times New Roman"/>
          <w:lang w:eastAsia="pl-PL"/>
        </w:rPr>
        <w:t xml:space="preserve"> </w:t>
      </w:r>
      <w:proofErr w:type="spellStart"/>
      <w:r w:rsidRPr="00AF102D">
        <w:rPr>
          <w:rFonts w:ascii="Times New Roman" w:hAnsi="Times New Roman" w:cs="Times New Roman"/>
          <w:bCs/>
          <w:color w:val="000000"/>
          <w:shd w:val="clear" w:color="auto" w:fill="FFFFFF"/>
        </w:rPr>
        <w:t>Code</w:t>
      </w:r>
      <w:proofErr w:type="spellEnd"/>
      <w:r w:rsidRPr="00AF102D">
        <w:rPr>
          <w:rFonts w:ascii="Times New Roman" w:hAnsi="Times New Roman" w:cs="Times New Roman"/>
          <w:bCs/>
          <w:color w:val="000000"/>
          <w:shd w:val="clear" w:color="auto" w:fill="FFFFFF"/>
        </w:rPr>
        <w:t xml:space="preserve"> de </w:t>
      </w:r>
      <w:proofErr w:type="spellStart"/>
      <w:r w:rsidRPr="00AF102D">
        <w:rPr>
          <w:rFonts w:ascii="Times New Roman" w:hAnsi="Times New Roman" w:cs="Times New Roman"/>
          <w:bCs/>
          <w:color w:val="000000"/>
          <w:shd w:val="clear" w:color="auto" w:fill="FFFFFF"/>
        </w:rPr>
        <w:t>procédure</w:t>
      </w:r>
      <w:proofErr w:type="spellEnd"/>
      <w:r w:rsidRPr="00AF102D">
        <w:rPr>
          <w:rFonts w:ascii="Times New Roman" w:hAnsi="Times New Roman" w:cs="Times New Roman"/>
          <w:bCs/>
          <w:color w:val="000000"/>
          <w:shd w:val="clear" w:color="auto" w:fill="FFFFFF"/>
        </w:rPr>
        <w:t xml:space="preserve"> </w:t>
      </w:r>
      <w:proofErr w:type="spellStart"/>
      <w:r w:rsidRPr="00AF102D">
        <w:rPr>
          <w:rFonts w:ascii="Times New Roman" w:hAnsi="Times New Roman" w:cs="Times New Roman"/>
          <w:bCs/>
          <w:color w:val="000000"/>
          <w:shd w:val="clear" w:color="auto" w:fill="FFFFFF"/>
        </w:rPr>
        <w:t>pénale</w:t>
      </w:r>
      <w:proofErr w:type="spellEnd"/>
      <w:r w:rsidRPr="00AF102D">
        <w:rPr>
          <w:rFonts w:ascii="Times New Roman" w:hAnsi="Times New Roman" w:cs="Times New Roman"/>
          <w:bCs/>
          <w:color w:val="000000"/>
          <w:shd w:val="clear" w:color="auto" w:fill="FFFFFF"/>
        </w:rPr>
        <w:t xml:space="preserve"> (francuski Kodeks postepowania karnego – dalej CPP) stanowi, że okoliczności sprawy są ustalane na podstawie wszelkich dowodów niezabronionych prawem, które są swobodnie oceniane przez sędziego działającego zgodnie </w:t>
      </w:r>
      <w:r w:rsidRPr="00AF102D">
        <w:rPr>
          <w:rFonts w:ascii="Times New Roman" w:hAnsi="Times New Roman" w:cs="Times New Roman"/>
          <w:bCs/>
          <w:color w:val="000000"/>
          <w:shd w:val="clear" w:color="auto" w:fill="FFFFFF"/>
        </w:rPr>
        <w:br/>
        <w:t xml:space="preserve">z własnym przekonaniem. Zakaz dowodowy ogranicza się w tej procedurze w szczególności </w:t>
      </w:r>
      <w:r w:rsidR="00A869CF">
        <w:rPr>
          <w:rFonts w:ascii="Times New Roman" w:hAnsi="Times New Roman" w:cs="Times New Roman"/>
          <w:bCs/>
          <w:color w:val="000000"/>
          <w:shd w:val="clear" w:color="auto" w:fill="FFFFFF"/>
        </w:rPr>
        <w:br/>
      </w:r>
      <w:r w:rsidRPr="00AF102D">
        <w:rPr>
          <w:rFonts w:ascii="Times New Roman" w:hAnsi="Times New Roman" w:cs="Times New Roman"/>
          <w:bCs/>
          <w:color w:val="000000"/>
          <w:shd w:val="clear" w:color="auto" w:fill="FFFFFF"/>
        </w:rPr>
        <w:t xml:space="preserve">do ogólnie pojętych praw człowieka (poszanowania godności ludzkiej), ale również odnosi </w:t>
      </w:r>
      <w:r w:rsidR="00A869CF">
        <w:rPr>
          <w:rFonts w:ascii="Times New Roman" w:hAnsi="Times New Roman" w:cs="Times New Roman"/>
          <w:bCs/>
          <w:color w:val="000000"/>
          <w:shd w:val="clear" w:color="auto" w:fill="FFFFFF"/>
        </w:rPr>
        <w:br/>
      </w:r>
      <w:r w:rsidRPr="00AF102D">
        <w:rPr>
          <w:rFonts w:ascii="Times New Roman" w:hAnsi="Times New Roman" w:cs="Times New Roman"/>
          <w:bCs/>
          <w:color w:val="000000"/>
          <w:shd w:val="clear" w:color="auto" w:fill="FFFFFF"/>
        </w:rPr>
        <w:t xml:space="preserve">się do tajemnicy wynikającej z prawa do obrony, pomiędzy pełnomocnikiem procesowym, </w:t>
      </w:r>
      <w:r w:rsidR="00A869CF">
        <w:rPr>
          <w:rFonts w:ascii="Times New Roman" w:hAnsi="Times New Roman" w:cs="Times New Roman"/>
          <w:bCs/>
          <w:color w:val="000000"/>
          <w:shd w:val="clear" w:color="auto" w:fill="FFFFFF"/>
        </w:rPr>
        <w:br/>
      </w:r>
      <w:r w:rsidRPr="00AF102D">
        <w:rPr>
          <w:rFonts w:ascii="Times New Roman" w:hAnsi="Times New Roman" w:cs="Times New Roman"/>
          <w:bCs/>
          <w:color w:val="000000"/>
          <w:shd w:val="clear" w:color="auto" w:fill="FFFFFF"/>
        </w:rPr>
        <w:t xml:space="preserve">a jego klientem, a zasada sprawiedliwości w poszukiwaniu dowodów zakazuje stosowania „nieuczciwych praktyk, sztuczek i chwytów do pozyskiwania dowodów”. </w:t>
      </w:r>
    </w:p>
    <w:p w:rsidR="00CA37C6" w:rsidRPr="00AF102D" w:rsidRDefault="00CA37C6" w:rsidP="00CA37C6">
      <w:pPr>
        <w:pStyle w:val="Bezodstpw"/>
        <w:spacing w:line="360" w:lineRule="auto"/>
        <w:ind w:firstLine="567"/>
        <w:jc w:val="both"/>
        <w:rPr>
          <w:rFonts w:ascii="Times New Roman" w:hAnsi="Times New Roman" w:cs="Times New Roman"/>
          <w:bCs/>
          <w:color w:val="000000"/>
          <w:shd w:val="clear" w:color="auto" w:fill="FFFFFF"/>
        </w:rPr>
      </w:pPr>
      <w:r w:rsidRPr="00AF102D">
        <w:rPr>
          <w:rFonts w:ascii="Times New Roman" w:hAnsi="Times New Roman" w:cs="Times New Roman"/>
          <w:bCs/>
          <w:color w:val="000000"/>
          <w:shd w:val="clear" w:color="auto" w:fill="FFFFFF"/>
        </w:rPr>
        <w:t xml:space="preserve">Zgodnie z </w:t>
      </w:r>
      <w:proofErr w:type="spellStart"/>
      <w:r w:rsidRPr="00AF102D">
        <w:rPr>
          <w:rFonts w:ascii="Times New Roman" w:hAnsi="Times New Roman" w:cs="Times New Roman"/>
          <w:bCs/>
          <w:color w:val="000000"/>
          <w:shd w:val="clear" w:color="auto" w:fill="FFFFFF"/>
        </w:rPr>
        <w:t>Strafprozeßordnung</w:t>
      </w:r>
      <w:proofErr w:type="spellEnd"/>
      <w:r w:rsidRPr="00AF102D">
        <w:rPr>
          <w:rFonts w:ascii="Times New Roman" w:hAnsi="Times New Roman" w:cs="Times New Roman"/>
          <w:bCs/>
          <w:color w:val="000000"/>
          <w:shd w:val="clear" w:color="auto" w:fill="FFFFFF"/>
        </w:rPr>
        <w:t xml:space="preserve"> (niemiecki Kodeks postępowania karnego – dalej </w:t>
      </w:r>
      <w:proofErr w:type="spellStart"/>
      <w:r w:rsidRPr="00AF102D">
        <w:rPr>
          <w:rFonts w:ascii="Times New Roman" w:hAnsi="Times New Roman" w:cs="Times New Roman"/>
          <w:bCs/>
          <w:color w:val="000000"/>
          <w:shd w:val="clear" w:color="auto" w:fill="FFFFFF"/>
        </w:rPr>
        <w:t>StPO</w:t>
      </w:r>
      <w:proofErr w:type="spellEnd"/>
      <w:r w:rsidRPr="00AF102D">
        <w:rPr>
          <w:rFonts w:ascii="Times New Roman" w:hAnsi="Times New Roman" w:cs="Times New Roman"/>
          <w:bCs/>
          <w:color w:val="000000"/>
          <w:shd w:val="clear" w:color="auto" w:fill="FFFFFF"/>
        </w:rPr>
        <w:t>) bezpośrednio po przesłuchaniu oskarżonego na rozprawie głównej następuje postępowanie dowodowe (</w:t>
      </w:r>
      <w:proofErr w:type="spellStart"/>
      <w:r w:rsidRPr="00AF102D">
        <w:rPr>
          <w:rFonts w:ascii="Times New Roman" w:hAnsi="Times New Roman" w:cs="Times New Roman"/>
          <w:bCs/>
          <w:color w:val="000000"/>
          <w:shd w:val="clear" w:color="auto" w:fill="FFFFFF"/>
        </w:rPr>
        <w:t>die</w:t>
      </w:r>
      <w:proofErr w:type="spellEnd"/>
      <w:r w:rsidRPr="00AF102D">
        <w:rPr>
          <w:rFonts w:ascii="Times New Roman" w:hAnsi="Times New Roman" w:cs="Times New Roman"/>
          <w:bCs/>
          <w:color w:val="000000"/>
          <w:shd w:val="clear" w:color="auto" w:fill="FFFFFF"/>
        </w:rPr>
        <w:t xml:space="preserve"> </w:t>
      </w:r>
      <w:proofErr w:type="spellStart"/>
      <w:r w:rsidRPr="00AF102D">
        <w:rPr>
          <w:rFonts w:ascii="Times New Roman" w:hAnsi="Times New Roman" w:cs="Times New Roman"/>
          <w:bCs/>
          <w:color w:val="000000"/>
          <w:shd w:val="clear" w:color="auto" w:fill="FFFFFF"/>
        </w:rPr>
        <w:t>Beweisaufnahme</w:t>
      </w:r>
      <w:proofErr w:type="spellEnd"/>
      <w:r w:rsidRPr="00AF102D">
        <w:rPr>
          <w:rFonts w:ascii="Times New Roman" w:hAnsi="Times New Roman" w:cs="Times New Roman"/>
          <w:bCs/>
          <w:color w:val="000000"/>
          <w:shd w:val="clear" w:color="auto" w:fill="FFFFFF"/>
        </w:rPr>
        <w:t xml:space="preserve">), którego celem jest ustalenie faktów istotnych z punktu widzenia przedmiotu procesu karnego. Postępowanie to jest kształtowane przez zasadę </w:t>
      </w:r>
      <w:r w:rsidRPr="00AF102D">
        <w:rPr>
          <w:rFonts w:ascii="Times New Roman" w:hAnsi="Times New Roman" w:cs="Times New Roman"/>
          <w:bCs/>
          <w:i/>
          <w:color w:val="000000"/>
          <w:shd w:val="clear" w:color="auto" w:fill="FFFFFF"/>
        </w:rPr>
        <w:t xml:space="preserve">numerus clausus </w:t>
      </w:r>
      <w:r w:rsidRPr="00AF102D">
        <w:rPr>
          <w:rFonts w:ascii="Times New Roman" w:hAnsi="Times New Roman" w:cs="Times New Roman"/>
          <w:bCs/>
          <w:color w:val="000000"/>
          <w:shd w:val="clear" w:color="auto" w:fill="FFFFFF"/>
        </w:rPr>
        <w:t xml:space="preserve">dopuszczalnych środków dowodowych. W niemieckim procesie karnym rozróżnia </w:t>
      </w:r>
      <w:r w:rsidR="00A869CF">
        <w:rPr>
          <w:rFonts w:ascii="Times New Roman" w:hAnsi="Times New Roman" w:cs="Times New Roman"/>
          <w:bCs/>
          <w:color w:val="000000"/>
          <w:shd w:val="clear" w:color="auto" w:fill="FFFFFF"/>
        </w:rPr>
        <w:br/>
      </w:r>
      <w:r w:rsidRPr="00AF102D">
        <w:rPr>
          <w:rFonts w:ascii="Times New Roman" w:hAnsi="Times New Roman" w:cs="Times New Roman"/>
          <w:bCs/>
          <w:color w:val="000000"/>
          <w:shd w:val="clear" w:color="auto" w:fill="FFFFFF"/>
        </w:rPr>
        <w:t>się dowody ścisłe (</w:t>
      </w:r>
      <w:proofErr w:type="spellStart"/>
      <w:r w:rsidRPr="00AF102D">
        <w:rPr>
          <w:rFonts w:ascii="Times New Roman" w:hAnsi="Times New Roman" w:cs="Times New Roman"/>
          <w:bCs/>
          <w:color w:val="000000"/>
          <w:shd w:val="clear" w:color="auto" w:fill="FFFFFF"/>
        </w:rPr>
        <w:t>Strangbeweisverfahren</w:t>
      </w:r>
      <w:proofErr w:type="spellEnd"/>
      <w:r w:rsidRPr="00AF102D">
        <w:rPr>
          <w:rFonts w:ascii="Times New Roman" w:hAnsi="Times New Roman" w:cs="Times New Roman"/>
          <w:bCs/>
          <w:color w:val="000000"/>
          <w:shd w:val="clear" w:color="auto" w:fill="FFFFFF"/>
        </w:rPr>
        <w:t xml:space="preserve">) prowadzące do rozstrzygnięcia w przedmiocie winy </w:t>
      </w:r>
      <w:r w:rsidRPr="00AF102D">
        <w:rPr>
          <w:rFonts w:ascii="Times New Roman" w:hAnsi="Times New Roman" w:cs="Times New Roman"/>
          <w:bCs/>
          <w:color w:val="000000"/>
          <w:shd w:val="clear" w:color="auto" w:fill="FFFFFF"/>
        </w:rPr>
        <w:lastRenderedPageBreak/>
        <w:t>oraz następstw prawnych czynu i dowody swobodne (</w:t>
      </w:r>
      <w:proofErr w:type="spellStart"/>
      <w:r w:rsidRPr="00AF102D">
        <w:rPr>
          <w:rFonts w:ascii="Times New Roman" w:hAnsi="Times New Roman" w:cs="Times New Roman"/>
          <w:bCs/>
          <w:color w:val="000000"/>
          <w:shd w:val="clear" w:color="auto" w:fill="FFFFFF"/>
        </w:rPr>
        <w:t>Freibeweisverfahren</w:t>
      </w:r>
      <w:proofErr w:type="spellEnd"/>
      <w:r w:rsidRPr="00AF102D">
        <w:rPr>
          <w:rFonts w:ascii="Times New Roman" w:hAnsi="Times New Roman" w:cs="Times New Roman"/>
          <w:bCs/>
          <w:color w:val="000000"/>
          <w:shd w:val="clear" w:color="auto" w:fill="FFFFFF"/>
        </w:rPr>
        <w:t>) dotyczące pozostałych okoliczności rozstrzygnięcia. Dowody ści</w:t>
      </w:r>
      <w:r w:rsidR="00A869CF">
        <w:rPr>
          <w:rFonts w:ascii="Times New Roman" w:hAnsi="Times New Roman" w:cs="Times New Roman"/>
          <w:bCs/>
          <w:color w:val="000000"/>
          <w:shd w:val="clear" w:color="auto" w:fill="FFFFFF"/>
        </w:rPr>
        <w:t xml:space="preserve">słe mogą być ustalane jedynie </w:t>
      </w:r>
      <w:r w:rsidRPr="00AF102D">
        <w:rPr>
          <w:rFonts w:ascii="Times New Roman" w:hAnsi="Times New Roman" w:cs="Times New Roman"/>
          <w:bCs/>
          <w:color w:val="000000"/>
          <w:shd w:val="clear" w:color="auto" w:fill="FFFFFF"/>
        </w:rPr>
        <w:t xml:space="preserve">w ściśle określony sposób (bardzo sformalizowany) natomiast dowody swobodne podlegają mniej sformalizowanej procedurze jednakże nie mogą naruszać prawa. Podkreślić również należy, </w:t>
      </w:r>
      <w:r w:rsidR="00A869CF">
        <w:rPr>
          <w:rFonts w:ascii="Times New Roman" w:hAnsi="Times New Roman" w:cs="Times New Roman"/>
          <w:bCs/>
          <w:color w:val="000000"/>
          <w:shd w:val="clear" w:color="auto" w:fill="FFFFFF"/>
        </w:rPr>
        <w:br/>
      </w:r>
      <w:r w:rsidRPr="00AF102D">
        <w:rPr>
          <w:rFonts w:ascii="Times New Roman" w:hAnsi="Times New Roman" w:cs="Times New Roman"/>
          <w:bCs/>
          <w:color w:val="000000"/>
          <w:shd w:val="clear" w:color="auto" w:fill="FFFFFF"/>
        </w:rPr>
        <w:t>że oddalenie wniosku dowodowego, w niemieckie</w:t>
      </w:r>
      <w:r w:rsidR="00A869CF">
        <w:rPr>
          <w:rFonts w:ascii="Times New Roman" w:hAnsi="Times New Roman" w:cs="Times New Roman"/>
          <w:bCs/>
          <w:color w:val="000000"/>
          <w:shd w:val="clear" w:color="auto" w:fill="FFFFFF"/>
        </w:rPr>
        <w:t xml:space="preserve">j procedurze karnej, następuje </w:t>
      </w:r>
      <w:r w:rsidRPr="00AF102D">
        <w:rPr>
          <w:rFonts w:ascii="Times New Roman" w:hAnsi="Times New Roman" w:cs="Times New Roman"/>
          <w:bCs/>
          <w:color w:val="000000"/>
          <w:shd w:val="clear" w:color="auto" w:fill="FFFFFF"/>
        </w:rPr>
        <w:t xml:space="preserve">w sytuacji gdy przeprowadzenie dowodu jest niedopuszczalne o czym stanowi art. 244 ust. 3 </w:t>
      </w:r>
      <w:proofErr w:type="spellStart"/>
      <w:r w:rsidRPr="00AF102D">
        <w:rPr>
          <w:rFonts w:ascii="Times New Roman" w:hAnsi="Times New Roman" w:cs="Times New Roman"/>
          <w:bCs/>
          <w:color w:val="000000"/>
          <w:shd w:val="clear" w:color="auto" w:fill="FFFFFF"/>
        </w:rPr>
        <w:t>StPO</w:t>
      </w:r>
      <w:proofErr w:type="spellEnd"/>
      <w:r w:rsidRPr="00AF102D">
        <w:rPr>
          <w:rFonts w:ascii="Times New Roman" w:hAnsi="Times New Roman" w:cs="Times New Roman"/>
          <w:bCs/>
          <w:color w:val="000000"/>
          <w:shd w:val="clear" w:color="auto" w:fill="FFFFFF"/>
        </w:rPr>
        <w:t xml:space="preserve">. Jednocześnie w poglądach doktryny niemieckiego </w:t>
      </w:r>
      <w:r w:rsidR="00A869CF">
        <w:rPr>
          <w:rFonts w:ascii="Times New Roman" w:hAnsi="Times New Roman" w:cs="Times New Roman"/>
          <w:bCs/>
          <w:color w:val="000000"/>
          <w:shd w:val="clear" w:color="auto" w:fill="FFFFFF"/>
        </w:rPr>
        <w:t xml:space="preserve">procesu karnego podkreśla się, </w:t>
      </w:r>
      <w:r w:rsidRPr="00AF102D">
        <w:rPr>
          <w:rFonts w:ascii="Times New Roman" w:hAnsi="Times New Roman" w:cs="Times New Roman"/>
          <w:bCs/>
          <w:color w:val="000000"/>
          <w:shd w:val="clear" w:color="auto" w:fill="FFFFFF"/>
        </w:rPr>
        <w:t>że przepisy (</w:t>
      </w:r>
      <w:proofErr w:type="spellStart"/>
      <w:r w:rsidRPr="00AF102D">
        <w:rPr>
          <w:rFonts w:ascii="Times New Roman" w:hAnsi="Times New Roman" w:cs="Times New Roman"/>
          <w:bCs/>
          <w:color w:val="000000"/>
          <w:shd w:val="clear" w:color="auto" w:fill="FFFFFF"/>
        </w:rPr>
        <w:t>StPO</w:t>
      </w:r>
      <w:proofErr w:type="spellEnd"/>
      <w:r w:rsidRPr="00AF102D">
        <w:rPr>
          <w:rFonts w:ascii="Times New Roman" w:hAnsi="Times New Roman" w:cs="Times New Roman"/>
          <w:bCs/>
          <w:color w:val="000000"/>
          <w:shd w:val="clear" w:color="auto" w:fill="FFFFFF"/>
        </w:rPr>
        <w:t xml:space="preserve">) nie ustanawiają wymogu badania okoliczności faktycznych za każdą cenę. Wynika </w:t>
      </w:r>
      <w:r w:rsidR="00A869CF">
        <w:rPr>
          <w:rFonts w:ascii="Times New Roman" w:hAnsi="Times New Roman" w:cs="Times New Roman"/>
          <w:bCs/>
          <w:color w:val="000000"/>
          <w:shd w:val="clear" w:color="auto" w:fill="FFFFFF"/>
        </w:rPr>
        <w:br/>
      </w:r>
      <w:r w:rsidRPr="00AF102D">
        <w:rPr>
          <w:rFonts w:ascii="Times New Roman" w:hAnsi="Times New Roman" w:cs="Times New Roman"/>
          <w:bCs/>
          <w:color w:val="000000"/>
          <w:shd w:val="clear" w:color="auto" w:fill="FFFFFF"/>
        </w:rPr>
        <w:t>z tego, że w określonych sytuacjach nakaz dotyczący dążenia do ustalenia prawdy materialnej musi ustąpić przed obowiązującymi zakazami dowodowymi (</w:t>
      </w:r>
      <w:proofErr w:type="spellStart"/>
      <w:r w:rsidRPr="00AF102D">
        <w:rPr>
          <w:rFonts w:ascii="Times New Roman" w:hAnsi="Times New Roman" w:cs="Times New Roman"/>
          <w:bCs/>
          <w:color w:val="000000"/>
          <w:shd w:val="clear" w:color="auto" w:fill="FFFFFF"/>
        </w:rPr>
        <w:t>Beweisverbote</w:t>
      </w:r>
      <w:proofErr w:type="spellEnd"/>
      <w:r w:rsidRPr="00AF102D">
        <w:rPr>
          <w:rFonts w:ascii="Times New Roman" w:hAnsi="Times New Roman" w:cs="Times New Roman"/>
          <w:bCs/>
          <w:color w:val="000000"/>
          <w:shd w:val="clear" w:color="auto" w:fill="FFFFFF"/>
        </w:rPr>
        <w:t xml:space="preserve">), które mogą ograniczyć poczynienie prawidłowych ustaleń fatycznych. Zakazy dowodowe zasadniczo dzielone są na dwie grupy – odnoszące się do przeprowadzenia dowodów oraz wykorzystania dowodów. Przykładami takich regulacji są: § 52-55, § 81 lit. C, § 81a, § 136a, § 100a, § 105, 136 ust. 3 oraz § 252 </w:t>
      </w:r>
      <w:proofErr w:type="spellStart"/>
      <w:r w:rsidRPr="00AF102D">
        <w:rPr>
          <w:rFonts w:ascii="Times New Roman" w:hAnsi="Times New Roman" w:cs="Times New Roman"/>
          <w:bCs/>
          <w:color w:val="000000"/>
          <w:shd w:val="clear" w:color="auto" w:fill="FFFFFF"/>
        </w:rPr>
        <w:t>StPO</w:t>
      </w:r>
      <w:proofErr w:type="spellEnd"/>
      <w:r w:rsidRPr="00AF102D">
        <w:rPr>
          <w:rFonts w:ascii="Times New Roman" w:hAnsi="Times New Roman" w:cs="Times New Roman"/>
          <w:bCs/>
          <w:color w:val="000000"/>
          <w:shd w:val="clear" w:color="auto" w:fill="FFFFFF"/>
        </w:rPr>
        <w:t xml:space="preserve">. </w:t>
      </w:r>
      <w:r w:rsidRPr="00AF102D">
        <w:rPr>
          <w:rFonts w:ascii="Times New Roman" w:hAnsi="Times New Roman" w:cs="Times New Roman"/>
          <w:lang w:eastAsia="pl-PL"/>
        </w:rPr>
        <w:t>Podkreślić należy, że tradycje kodyfikacyjne we Włoszech, Francji oraz  Niemczech wywodzą się z najstarszego procesu kontynentalnego (kompleksowo odnoszącego się do wszelkich sfer życia publicznego jak i prywatnego) jakim niewątpliwie był proces rzymski. Biorąc powyższe pod uwagę, należy wskazać, że poprzez zaskarżony przepis polski ustawodawca w znaczący sposób odszedł od europejskiej tradycji postrzegania legalności dowodowej w procedurze karnej.</w:t>
      </w:r>
    </w:p>
    <w:p w:rsidR="00CA37C6" w:rsidRPr="009A7E46" w:rsidRDefault="009A7E46" w:rsidP="00CA37C6">
      <w:pPr>
        <w:pStyle w:val="Bezodstpw"/>
        <w:spacing w:line="360" w:lineRule="auto"/>
        <w:ind w:firstLine="567"/>
        <w:jc w:val="both"/>
        <w:rPr>
          <w:rFonts w:ascii="Times New Roman" w:hAnsi="Times New Roman" w:cs="Times New Roman"/>
          <w:b/>
          <w:bCs/>
          <w:color w:val="000000"/>
          <w:shd w:val="clear" w:color="auto" w:fill="FFFFFF"/>
        </w:rPr>
      </w:pPr>
      <w:r w:rsidRPr="009A7E46">
        <w:rPr>
          <w:rFonts w:ascii="Times New Roman" w:hAnsi="Times New Roman" w:cs="Times New Roman"/>
          <w:b/>
          <w:bCs/>
          <w:color w:val="000000"/>
          <w:shd w:val="clear" w:color="auto" w:fill="FFFFFF"/>
        </w:rPr>
        <w:t xml:space="preserve">Biorąc pod uwagę przytoczone wyżej rozważania </w:t>
      </w:r>
      <w:r w:rsidR="00CA37C6" w:rsidRPr="009A7E46">
        <w:rPr>
          <w:rFonts w:ascii="Times New Roman" w:hAnsi="Times New Roman" w:cs="Times New Roman"/>
          <w:b/>
          <w:bCs/>
          <w:color w:val="000000"/>
          <w:shd w:val="clear" w:color="auto" w:fill="FFFFFF"/>
        </w:rPr>
        <w:t>Krajowa Rada Sądownictwa wskazuje na niespójność zaskarżonego przepisu z Kodeksem postępowania karnego, innymi ustawami, z których wywodzone są zakazy dowodowe przestrzegane w toku procesu karnego, niekonstytucyjność względem powołanych</w:t>
      </w:r>
      <w:r w:rsidRPr="009A7E46">
        <w:rPr>
          <w:rFonts w:ascii="Times New Roman" w:hAnsi="Times New Roman" w:cs="Times New Roman"/>
          <w:b/>
          <w:bCs/>
          <w:color w:val="000000"/>
          <w:shd w:val="clear" w:color="auto" w:fill="FFFFFF"/>
        </w:rPr>
        <w:t xml:space="preserve"> </w:t>
      </w:r>
      <w:r w:rsidR="00CA37C6" w:rsidRPr="009A7E46">
        <w:rPr>
          <w:rFonts w:ascii="Times New Roman" w:hAnsi="Times New Roman" w:cs="Times New Roman"/>
          <w:b/>
          <w:bCs/>
          <w:color w:val="000000"/>
          <w:shd w:val="clear" w:color="auto" w:fill="FFFFFF"/>
        </w:rPr>
        <w:t>w petitum wniosku przepisów Konstytucji Rzeczypospolitej Polskiej, opozycję w stosunku</w:t>
      </w:r>
      <w:r w:rsidRPr="009A7E46">
        <w:rPr>
          <w:rFonts w:ascii="Times New Roman" w:hAnsi="Times New Roman" w:cs="Times New Roman"/>
          <w:b/>
          <w:bCs/>
          <w:color w:val="000000"/>
          <w:shd w:val="clear" w:color="auto" w:fill="FFFFFF"/>
        </w:rPr>
        <w:t xml:space="preserve"> </w:t>
      </w:r>
      <w:r w:rsidR="00CA37C6" w:rsidRPr="009A7E46">
        <w:rPr>
          <w:rFonts w:ascii="Times New Roman" w:hAnsi="Times New Roman" w:cs="Times New Roman"/>
          <w:b/>
          <w:bCs/>
          <w:color w:val="000000"/>
          <w:shd w:val="clear" w:color="auto" w:fill="FFFFFF"/>
        </w:rPr>
        <w:t>do tradycji wypracowanych na przestrzeni dziesięcioleci przez sądy polskie, jak również brak oparcia w historii prawa kontynentalnego oraz wypracowanych standardów w wiodących europejskich procedurach karnych.</w:t>
      </w:r>
    </w:p>
    <w:p w:rsidR="00B43A5D" w:rsidRDefault="00CA37C6" w:rsidP="00B43A5D">
      <w:pPr>
        <w:tabs>
          <w:tab w:val="left" w:pos="709"/>
        </w:tabs>
        <w:suppressAutoHyphens w:val="0"/>
        <w:autoSpaceDE w:val="0"/>
        <w:autoSpaceDN w:val="0"/>
        <w:adjustRightInd w:val="0"/>
        <w:spacing w:after="0" w:line="360" w:lineRule="auto"/>
        <w:ind w:firstLine="567"/>
        <w:jc w:val="both"/>
        <w:rPr>
          <w:rFonts w:ascii="Times New Roman" w:eastAsia="Calibri" w:hAnsi="Times New Roman" w:cs="Times New Roman"/>
          <w:bCs/>
          <w:sz w:val="24"/>
          <w:szCs w:val="24"/>
          <w:lang w:eastAsia="en-US"/>
        </w:rPr>
      </w:pPr>
      <w:r w:rsidRPr="00AF102D">
        <w:rPr>
          <w:rFonts w:ascii="Times New Roman" w:eastAsia="Calibri" w:hAnsi="Times New Roman" w:cs="Times New Roman"/>
          <w:bCs/>
          <w:sz w:val="24"/>
          <w:szCs w:val="24"/>
          <w:lang w:eastAsia="en-US"/>
        </w:rPr>
        <w:tab/>
        <w:t>Mając powyższe na uwadze Krajowa Rada Sądownictwa wnosi jak w petitum.</w:t>
      </w:r>
      <w:bookmarkStart w:id="0" w:name="_GoBack"/>
      <w:bookmarkEnd w:id="0"/>
    </w:p>
    <w:p w:rsidR="00B43A5D" w:rsidRDefault="00B43A5D" w:rsidP="00CA37C6">
      <w:pPr>
        <w:tabs>
          <w:tab w:val="left" w:pos="709"/>
        </w:tabs>
        <w:suppressAutoHyphens w:val="0"/>
        <w:autoSpaceDE w:val="0"/>
        <w:autoSpaceDN w:val="0"/>
        <w:adjustRightInd w:val="0"/>
        <w:spacing w:after="0" w:line="360" w:lineRule="auto"/>
        <w:ind w:firstLine="567"/>
        <w:jc w:val="both"/>
        <w:rPr>
          <w:rFonts w:ascii="Times New Roman" w:eastAsia="Calibri" w:hAnsi="Times New Roman" w:cs="Times New Roman"/>
          <w:bCs/>
          <w:sz w:val="24"/>
          <w:szCs w:val="24"/>
          <w:lang w:eastAsia="en-US"/>
        </w:rPr>
      </w:pPr>
    </w:p>
    <w:p w:rsidR="00B43A5D" w:rsidRPr="00B43A5D" w:rsidRDefault="00B43A5D" w:rsidP="00B43A5D">
      <w:pPr>
        <w:spacing w:after="0" w:line="360" w:lineRule="auto"/>
        <w:ind w:left="2832" w:firstLine="708"/>
        <w:jc w:val="center"/>
        <w:rPr>
          <w:rFonts w:ascii="Times New Roman" w:hAnsi="Times New Roman" w:cs="Times New Roman"/>
          <w:sz w:val="24"/>
          <w:szCs w:val="24"/>
        </w:rPr>
      </w:pPr>
      <w:r w:rsidRPr="00B43A5D">
        <w:rPr>
          <w:rFonts w:ascii="Times New Roman" w:hAnsi="Times New Roman" w:cs="Times New Roman"/>
          <w:sz w:val="24"/>
          <w:szCs w:val="24"/>
        </w:rPr>
        <w:t>Wiceprzewodniczący</w:t>
      </w:r>
    </w:p>
    <w:p w:rsidR="00B43A5D" w:rsidRPr="00B43A5D" w:rsidRDefault="00B43A5D" w:rsidP="00B43A5D">
      <w:pPr>
        <w:spacing w:after="0" w:line="240" w:lineRule="auto"/>
        <w:ind w:left="2832" w:firstLine="708"/>
        <w:jc w:val="center"/>
        <w:rPr>
          <w:rFonts w:ascii="Times New Roman" w:hAnsi="Times New Roman" w:cs="Times New Roman"/>
          <w:sz w:val="24"/>
          <w:szCs w:val="24"/>
        </w:rPr>
      </w:pPr>
      <w:r w:rsidRPr="00B43A5D">
        <w:rPr>
          <w:rFonts w:ascii="Times New Roman" w:hAnsi="Times New Roman" w:cs="Times New Roman"/>
          <w:sz w:val="24"/>
          <w:szCs w:val="24"/>
        </w:rPr>
        <w:t>Krajowej Rady Sądownictwa</w:t>
      </w:r>
    </w:p>
    <w:p w:rsidR="00B43A5D" w:rsidRPr="00B43A5D" w:rsidRDefault="00B43A5D" w:rsidP="00B43A5D">
      <w:pPr>
        <w:spacing w:after="0" w:line="240" w:lineRule="auto"/>
        <w:jc w:val="center"/>
        <w:rPr>
          <w:rFonts w:ascii="Times New Roman" w:hAnsi="Times New Roman" w:cs="Times New Roman"/>
          <w:sz w:val="24"/>
          <w:szCs w:val="24"/>
        </w:rPr>
      </w:pPr>
    </w:p>
    <w:p w:rsidR="00B43A5D" w:rsidRPr="00B43A5D" w:rsidRDefault="00B43A5D" w:rsidP="00B43A5D">
      <w:pPr>
        <w:spacing w:after="0" w:line="240" w:lineRule="auto"/>
        <w:ind w:left="2832" w:firstLine="708"/>
        <w:jc w:val="center"/>
        <w:rPr>
          <w:rFonts w:ascii="Times New Roman" w:hAnsi="Times New Roman" w:cs="Times New Roman"/>
          <w:sz w:val="24"/>
          <w:szCs w:val="24"/>
        </w:rPr>
      </w:pPr>
      <w:r w:rsidRPr="00B43A5D">
        <w:rPr>
          <w:rFonts w:ascii="Times New Roman" w:hAnsi="Times New Roman" w:cs="Times New Roman"/>
          <w:sz w:val="24"/>
          <w:szCs w:val="24"/>
        </w:rPr>
        <w:t>płk Piotr Raczkowski</w:t>
      </w:r>
    </w:p>
    <w:p w:rsidR="00CA37C6" w:rsidRDefault="00B43A5D" w:rsidP="00B43A5D">
      <w:pPr>
        <w:tabs>
          <w:tab w:val="left" w:pos="709"/>
        </w:tabs>
        <w:suppressAutoHyphens w:val="0"/>
        <w:autoSpaceDE w:val="0"/>
        <w:autoSpaceDN w:val="0"/>
        <w:adjustRightInd w:val="0"/>
        <w:spacing w:after="0" w:line="360" w:lineRule="auto"/>
        <w:ind w:firstLine="567"/>
        <w:rPr>
          <w:rFonts w:ascii="Times New Roman" w:eastAsia="Calibri" w:hAnsi="Times New Roman" w:cs="Times New Roman"/>
          <w:b/>
          <w:bCs/>
          <w:sz w:val="24"/>
          <w:szCs w:val="24"/>
          <w:lang w:eastAsia="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43A5D">
        <w:rPr>
          <w:rFonts w:ascii="Times New Roman" w:hAnsi="Times New Roman" w:cs="Times New Roman"/>
          <w:sz w:val="24"/>
          <w:szCs w:val="24"/>
        </w:rPr>
        <w:t>sędzia Wojskowego Sądu Okręgowego</w:t>
      </w:r>
    </w:p>
    <w:sectPr w:rsidR="00CA37C6" w:rsidSect="00001B24">
      <w:footerReference w:type="default" r:id="rId9"/>
      <w:pgSz w:w="11906" w:h="16838"/>
      <w:pgMar w:top="1134" w:right="707" w:bottom="1275"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A23" w:rsidRDefault="001D6A23" w:rsidP="003C3BB1">
      <w:pPr>
        <w:spacing w:after="0" w:line="240" w:lineRule="auto"/>
      </w:pPr>
      <w:r>
        <w:separator/>
      </w:r>
    </w:p>
  </w:endnote>
  <w:endnote w:type="continuationSeparator" w:id="0">
    <w:p w:rsidR="001D6A23" w:rsidRDefault="001D6A23" w:rsidP="003C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0CD" w:rsidRDefault="00C61E72">
    <w:pPr>
      <w:pStyle w:val="Stopka"/>
      <w:jc w:val="right"/>
    </w:pPr>
    <w:r>
      <w:fldChar w:fldCharType="begin"/>
    </w:r>
    <w:r w:rsidR="00CA37C6">
      <w:instrText>PAGE   \* MERGEFORMAT</w:instrText>
    </w:r>
    <w:r>
      <w:fldChar w:fldCharType="separate"/>
    </w:r>
    <w:r w:rsidR="00B43A5D">
      <w:rPr>
        <w:noProof/>
      </w:rPr>
      <w:t>17</w:t>
    </w:r>
    <w:r>
      <w:fldChar w:fldCharType="end"/>
    </w:r>
  </w:p>
  <w:p w:rsidR="009700CD" w:rsidRDefault="001D6A23">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A23" w:rsidRDefault="001D6A23" w:rsidP="003C3BB1">
      <w:pPr>
        <w:spacing w:after="0" w:line="240" w:lineRule="auto"/>
      </w:pPr>
      <w:r>
        <w:separator/>
      </w:r>
    </w:p>
  </w:footnote>
  <w:footnote w:type="continuationSeparator" w:id="0">
    <w:p w:rsidR="001D6A23" w:rsidRDefault="001D6A23" w:rsidP="003C3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8173D"/>
    <w:multiLevelType w:val="hybridMultilevel"/>
    <w:tmpl w:val="2B4C57D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7C6"/>
    <w:rsid w:val="000703D8"/>
    <w:rsid w:val="00100FED"/>
    <w:rsid w:val="00176AA2"/>
    <w:rsid w:val="001D6A23"/>
    <w:rsid w:val="001F14B2"/>
    <w:rsid w:val="001F16FC"/>
    <w:rsid w:val="002444C9"/>
    <w:rsid w:val="002576D5"/>
    <w:rsid w:val="002817A1"/>
    <w:rsid w:val="002C3DC0"/>
    <w:rsid w:val="00383B39"/>
    <w:rsid w:val="003C3BB1"/>
    <w:rsid w:val="003C7313"/>
    <w:rsid w:val="00411357"/>
    <w:rsid w:val="00446205"/>
    <w:rsid w:val="00456A32"/>
    <w:rsid w:val="00460AEA"/>
    <w:rsid w:val="0057653A"/>
    <w:rsid w:val="005A0ACB"/>
    <w:rsid w:val="005F33DC"/>
    <w:rsid w:val="00603A45"/>
    <w:rsid w:val="006045B7"/>
    <w:rsid w:val="00673E7A"/>
    <w:rsid w:val="00695AB6"/>
    <w:rsid w:val="00744627"/>
    <w:rsid w:val="00773866"/>
    <w:rsid w:val="008239C7"/>
    <w:rsid w:val="009060F4"/>
    <w:rsid w:val="00913E47"/>
    <w:rsid w:val="00940BFC"/>
    <w:rsid w:val="00957147"/>
    <w:rsid w:val="009A7E46"/>
    <w:rsid w:val="009C53C9"/>
    <w:rsid w:val="00A14217"/>
    <w:rsid w:val="00A869CF"/>
    <w:rsid w:val="00AA311C"/>
    <w:rsid w:val="00AC17E1"/>
    <w:rsid w:val="00AE1537"/>
    <w:rsid w:val="00AE725E"/>
    <w:rsid w:val="00AF102D"/>
    <w:rsid w:val="00AF4416"/>
    <w:rsid w:val="00B43A5D"/>
    <w:rsid w:val="00BC241D"/>
    <w:rsid w:val="00BE6F4E"/>
    <w:rsid w:val="00BF15A7"/>
    <w:rsid w:val="00C46527"/>
    <w:rsid w:val="00C61E72"/>
    <w:rsid w:val="00CA37C6"/>
    <w:rsid w:val="00CF6F31"/>
    <w:rsid w:val="00D24E29"/>
    <w:rsid w:val="00D40A79"/>
    <w:rsid w:val="00DD6D04"/>
    <w:rsid w:val="00E23751"/>
    <w:rsid w:val="00EE59FC"/>
    <w:rsid w:val="00F65338"/>
    <w:rsid w:val="00FF2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37C6"/>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CA37C6"/>
    <w:pPr>
      <w:suppressAutoHyphens/>
      <w:spacing w:after="0" w:line="240" w:lineRule="auto"/>
    </w:pPr>
    <w:rPr>
      <w:rFonts w:ascii="Calibri" w:eastAsia="Times New Roman" w:hAnsi="Calibri" w:cs="Calibri"/>
      <w:sz w:val="24"/>
      <w:szCs w:val="24"/>
      <w:lang w:eastAsia="ar-SA"/>
    </w:rPr>
  </w:style>
  <w:style w:type="paragraph" w:styleId="Stopka">
    <w:name w:val="footer"/>
    <w:basedOn w:val="Normalny"/>
    <w:link w:val="StopkaZnak1"/>
    <w:uiPriority w:val="99"/>
    <w:rsid w:val="00CA37C6"/>
    <w:pPr>
      <w:spacing w:after="0" w:line="240" w:lineRule="auto"/>
    </w:pPr>
    <w:rPr>
      <w:sz w:val="20"/>
      <w:szCs w:val="20"/>
    </w:rPr>
  </w:style>
  <w:style w:type="character" w:customStyle="1" w:styleId="StopkaZnak">
    <w:name w:val="Stopka Znak"/>
    <w:basedOn w:val="Domylnaczcionkaakapitu"/>
    <w:uiPriority w:val="99"/>
    <w:semiHidden/>
    <w:rsid w:val="00CA37C6"/>
    <w:rPr>
      <w:rFonts w:ascii="Calibri" w:eastAsia="Times New Roman" w:hAnsi="Calibri" w:cs="Calibri"/>
      <w:lang w:eastAsia="ar-SA"/>
    </w:rPr>
  </w:style>
  <w:style w:type="character" w:customStyle="1" w:styleId="StopkaZnak1">
    <w:name w:val="Stopka Znak1"/>
    <w:link w:val="Stopka"/>
    <w:uiPriority w:val="99"/>
    <w:locked/>
    <w:rsid w:val="00CA37C6"/>
    <w:rPr>
      <w:rFonts w:ascii="Calibri" w:eastAsia="Times New Roman" w:hAnsi="Calibri" w:cs="Calibri"/>
      <w:sz w:val="20"/>
      <w:szCs w:val="20"/>
      <w:lang w:eastAsia="ar-SA"/>
    </w:rPr>
  </w:style>
  <w:style w:type="character" w:customStyle="1" w:styleId="apple-converted-space">
    <w:name w:val="apple-converted-space"/>
    <w:basedOn w:val="Domylnaczcionkaakapitu"/>
    <w:rsid w:val="00CA37C6"/>
  </w:style>
  <w:style w:type="character" w:customStyle="1" w:styleId="Kkursywa">
    <w:name w:val="_K_ – kursywa"/>
    <w:basedOn w:val="Domylnaczcionkaakapitu"/>
    <w:uiPriority w:val="1"/>
    <w:qFormat/>
    <w:rsid w:val="00CA37C6"/>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37C6"/>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CA37C6"/>
    <w:pPr>
      <w:suppressAutoHyphens/>
      <w:spacing w:after="0" w:line="240" w:lineRule="auto"/>
    </w:pPr>
    <w:rPr>
      <w:rFonts w:ascii="Calibri" w:eastAsia="Times New Roman" w:hAnsi="Calibri" w:cs="Calibri"/>
      <w:sz w:val="24"/>
      <w:szCs w:val="24"/>
      <w:lang w:eastAsia="ar-SA"/>
    </w:rPr>
  </w:style>
  <w:style w:type="paragraph" w:styleId="Stopka">
    <w:name w:val="footer"/>
    <w:basedOn w:val="Normalny"/>
    <w:link w:val="StopkaZnak1"/>
    <w:uiPriority w:val="99"/>
    <w:rsid w:val="00CA37C6"/>
    <w:pPr>
      <w:spacing w:after="0" w:line="240" w:lineRule="auto"/>
    </w:pPr>
    <w:rPr>
      <w:sz w:val="20"/>
      <w:szCs w:val="20"/>
    </w:rPr>
  </w:style>
  <w:style w:type="character" w:customStyle="1" w:styleId="StopkaZnak">
    <w:name w:val="Stopka Znak"/>
    <w:basedOn w:val="Domylnaczcionkaakapitu"/>
    <w:uiPriority w:val="99"/>
    <w:semiHidden/>
    <w:rsid w:val="00CA37C6"/>
    <w:rPr>
      <w:rFonts w:ascii="Calibri" w:eastAsia="Times New Roman" w:hAnsi="Calibri" w:cs="Calibri"/>
      <w:lang w:eastAsia="ar-SA"/>
    </w:rPr>
  </w:style>
  <w:style w:type="character" w:customStyle="1" w:styleId="StopkaZnak1">
    <w:name w:val="Stopka Znak1"/>
    <w:link w:val="Stopka"/>
    <w:uiPriority w:val="99"/>
    <w:locked/>
    <w:rsid w:val="00CA37C6"/>
    <w:rPr>
      <w:rFonts w:ascii="Calibri" w:eastAsia="Times New Roman" w:hAnsi="Calibri" w:cs="Calibri"/>
      <w:sz w:val="20"/>
      <w:szCs w:val="20"/>
      <w:lang w:eastAsia="ar-SA"/>
    </w:rPr>
  </w:style>
  <w:style w:type="character" w:customStyle="1" w:styleId="apple-converted-space">
    <w:name w:val="apple-converted-space"/>
    <w:basedOn w:val="Domylnaczcionkaakapitu"/>
    <w:rsid w:val="00CA37C6"/>
  </w:style>
  <w:style w:type="character" w:customStyle="1" w:styleId="Kkursywa">
    <w:name w:val="_K_ – kursywa"/>
    <w:basedOn w:val="Domylnaczcionkaakapitu"/>
    <w:uiPriority w:val="1"/>
    <w:qFormat/>
    <w:rsid w:val="00CA37C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74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document-view.seam?documentId=mfrxilrsguydonboobqxalrrge2dco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6855</Words>
  <Characters>41132</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c:creator>
  <cp:lastModifiedBy>Rafał RK. Kretowicz</cp:lastModifiedBy>
  <cp:revision>5</cp:revision>
  <dcterms:created xsi:type="dcterms:W3CDTF">2016-05-19T11:39:00Z</dcterms:created>
  <dcterms:modified xsi:type="dcterms:W3CDTF">2016-05-19T11:43:00Z</dcterms:modified>
</cp:coreProperties>
</file>